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西北农林科技</w:t>
      </w:r>
      <w:r>
        <w:rPr>
          <w:rFonts w:hint="eastAsia"/>
          <w:b/>
          <w:sz w:val="32"/>
          <w:szCs w:val="32"/>
        </w:rPr>
        <w:t>大学</w:t>
      </w:r>
      <w:r>
        <w:rPr>
          <w:b/>
          <w:sz w:val="32"/>
          <w:szCs w:val="32"/>
        </w:rPr>
        <w:t>与</w:t>
      </w:r>
      <w:r>
        <w:rPr>
          <w:rFonts w:hint="eastAsia"/>
          <w:b/>
          <w:sz w:val="32"/>
          <w:szCs w:val="32"/>
        </w:rPr>
        <w:t>英国斯旺西大学</w:t>
      </w:r>
    </w:p>
    <w:p>
      <w:pPr>
        <w:jc w:val="center"/>
        <w:rPr>
          <w:b/>
          <w:sz w:val="32"/>
          <w:szCs w:val="32"/>
        </w:rPr>
      </w:pPr>
      <w:r>
        <w:rPr>
          <w:b/>
          <w:sz w:val="32"/>
          <w:szCs w:val="32"/>
        </w:rPr>
        <w:t>联合培养项目招生简章</w:t>
      </w:r>
    </w:p>
    <w:p>
      <w:pPr>
        <w:jc w:val="left"/>
        <w:rPr>
          <w:b/>
          <w:sz w:val="24"/>
          <w:szCs w:val="24"/>
        </w:rPr>
      </w:pPr>
    </w:p>
    <w:p>
      <w:pPr>
        <w:spacing w:line="300" w:lineRule="auto"/>
        <w:rPr>
          <w:b/>
          <w:sz w:val="28"/>
          <w:szCs w:val="28"/>
        </w:rPr>
      </w:pPr>
      <w:r>
        <w:rPr>
          <w:rFonts w:hint="eastAsia"/>
          <w:b/>
          <w:sz w:val="28"/>
          <w:szCs w:val="28"/>
        </w:rPr>
        <w:drawing>
          <wp:anchor distT="0" distB="0" distL="114300" distR="114300" simplePos="0" relativeHeight="251659264" behindDoc="0" locked="0" layoutInCell="1" allowOverlap="1">
            <wp:simplePos x="0" y="0"/>
            <wp:positionH relativeFrom="column">
              <wp:posOffset>2543175</wp:posOffset>
            </wp:positionH>
            <wp:positionV relativeFrom="paragraph">
              <wp:posOffset>352425</wp:posOffset>
            </wp:positionV>
            <wp:extent cx="3838575" cy="2333625"/>
            <wp:effectExtent l="19050" t="0" r="9525" b="0"/>
            <wp:wrapSquare wrapText="bothSides"/>
            <wp:docPr id="1" name="图片 1" descr="C:\Users\zhanglei\Desktop\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nglei\Desktop\图片1.jpg"/>
                    <pic:cNvPicPr>
                      <a:picLocks noChangeAspect="1" noChangeArrowheads="1"/>
                    </pic:cNvPicPr>
                  </pic:nvPicPr>
                  <pic:blipFill>
                    <a:blip r:embed="rId4" cstate="print"/>
                    <a:srcRect/>
                    <a:stretch>
                      <a:fillRect/>
                    </a:stretch>
                  </pic:blipFill>
                  <pic:spPr>
                    <a:xfrm>
                      <a:off x="0" y="0"/>
                      <a:ext cx="3838575" cy="2333625"/>
                    </a:xfrm>
                    <a:prstGeom prst="rect">
                      <a:avLst/>
                    </a:prstGeom>
                    <a:noFill/>
                    <a:ln w="9525">
                      <a:noFill/>
                      <a:miter lim="800000"/>
                      <a:headEnd/>
                      <a:tailEnd/>
                    </a:ln>
                  </pic:spPr>
                </pic:pic>
              </a:graphicData>
            </a:graphic>
          </wp:anchor>
        </w:drawing>
      </w:r>
      <w:r>
        <w:rPr>
          <w:rFonts w:hint="eastAsia"/>
          <w:b/>
          <w:sz w:val="28"/>
          <w:szCs w:val="28"/>
        </w:rPr>
        <w:t>一、斯旺西大学简介</w:t>
      </w:r>
    </w:p>
    <w:p>
      <w:pPr>
        <w:spacing w:line="312" w:lineRule="auto"/>
        <w:ind w:left="-283" w:leftChars="-135" w:firstLine="357" w:firstLineChars="170"/>
        <w:rPr>
          <w:rFonts w:ascii="Times New Roman" w:hAnsi="Times New Roman" w:eastAsia="宋体" w:cs="Times New Roman"/>
          <w:szCs w:val="21"/>
          <w:lang w:val="en-GB"/>
        </w:rPr>
      </w:pPr>
      <w:r>
        <w:rPr>
          <w:rFonts w:ascii="Times New Roman" w:hAnsi="宋体" w:eastAsia="宋体" w:cs="Times New Roman"/>
          <w:szCs w:val="21"/>
        </w:rPr>
        <w:t>斯旺西大学拥有悠久历史，始建于</w:t>
      </w:r>
      <w:r>
        <w:rPr>
          <w:rFonts w:ascii="Times New Roman" w:hAnsi="Times New Roman" w:eastAsia="宋体" w:cs="Times New Roman"/>
          <w:szCs w:val="21"/>
        </w:rPr>
        <w:t>1920</w:t>
      </w:r>
      <w:r>
        <w:rPr>
          <w:rFonts w:ascii="Times New Roman" w:hAnsi="宋体" w:eastAsia="宋体" w:cs="Times New Roman"/>
          <w:szCs w:val="21"/>
        </w:rPr>
        <w:t>年，由当时的英国皇帝乔治五世亲自奠基修建，在英国历史上是成立最早的</w:t>
      </w:r>
      <w:r>
        <w:rPr>
          <w:rFonts w:ascii="Times New Roman" w:hAnsi="Times New Roman" w:eastAsia="宋体" w:cs="Times New Roman"/>
          <w:szCs w:val="21"/>
        </w:rPr>
        <w:t>29</w:t>
      </w:r>
      <w:r>
        <w:rPr>
          <w:rFonts w:ascii="Times New Roman" w:hAnsi="宋体" w:eastAsia="宋体" w:cs="Times New Roman"/>
          <w:szCs w:val="21"/>
        </w:rPr>
        <w:t>所大学之一。大学现有</w:t>
      </w:r>
      <w:r>
        <w:rPr>
          <w:rFonts w:hint="eastAsia" w:ascii="Times New Roman" w:hAnsi="宋体" w:eastAsia="宋体" w:cs="Times New Roman"/>
          <w:szCs w:val="21"/>
        </w:rPr>
        <w:t>超过17000多</w:t>
      </w:r>
      <w:r>
        <w:rPr>
          <w:rFonts w:ascii="Times New Roman" w:hAnsi="宋体" w:eastAsia="宋体" w:cs="Times New Roman"/>
          <w:szCs w:val="21"/>
        </w:rPr>
        <w:t>名学生，包括来自于世界</w:t>
      </w:r>
      <w:r>
        <w:rPr>
          <w:rFonts w:ascii="Times New Roman" w:hAnsi="Times New Roman" w:eastAsia="宋体" w:cs="Times New Roman"/>
          <w:szCs w:val="21"/>
        </w:rPr>
        <w:t xml:space="preserve">120 </w:t>
      </w:r>
      <w:r>
        <w:rPr>
          <w:rFonts w:ascii="Times New Roman" w:hAnsi="宋体" w:eastAsia="宋体" w:cs="Times New Roman"/>
          <w:szCs w:val="21"/>
        </w:rPr>
        <w:t>多个国家及地区的</w:t>
      </w:r>
      <w:r>
        <w:rPr>
          <w:rFonts w:hint="eastAsia" w:ascii="Times New Roman" w:hAnsi="宋体" w:eastAsia="宋体" w:cs="Times New Roman"/>
          <w:szCs w:val="21"/>
        </w:rPr>
        <w:t>国际</w:t>
      </w:r>
      <w:r>
        <w:rPr>
          <w:rFonts w:ascii="Times New Roman" w:hAnsi="宋体" w:eastAsia="宋体" w:cs="Times New Roman"/>
          <w:szCs w:val="21"/>
        </w:rPr>
        <w:t>学生。</w:t>
      </w:r>
      <w:r>
        <w:rPr>
          <w:rFonts w:ascii="Times New Roman" w:hAnsi="宋体" w:eastAsia="宋体" w:cs="Times New Roman"/>
          <w:szCs w:val="21"/>
          <w:lang w:val="en-GB"/>
        </w:rPr>
        <w:t>大学格外强调一切和学生有关的服务和活动。在校内学生可以获得周到完善的个性化服务，在校外学生可以参与向国际学生提供的社会活动和生活体验。</w:t>
      </w:r>
      <w:r>
        <w:rPr>
          <w:rFonts w:ascii="Times New Roman" w:hAnsi="宋体" w:eastAsia="宋体" w:cs="Times New Roman"/>
          <w:szCs w:val="21"/>
        </w:rPr>
        <w:t>斯旺西大学以其优秀的教育水平和一流的研究斐声国际。</w:t>
      </w:r>
    </w:p>
    <w:p>
      <w:pPr>
        <w:spacing w:line="312" w:lineRule="auto"/>
        <w:ind w:right="-55" w:rightChars="-26" w:firstLine="357" w:firstLineChars="170"/>
        <w:rPr>
          <w:rFonts w:ascii="Times New Roman" w:hAnsi="宋体" w:eastAsia="宋体" w:cs="Times New Roman"/>
          <w:szCs w:val="21"/>
        </w:rPr>
      </w:pPr>
    </w:p>
    <w:p>
      <w:pPr>
        <w:pStyle w:val="12"/>
        <w:numPr>
          <w:ilvl w:val="0"/>
          <w:numId w:val="1"/>
        </w:numPr>
        <w:spacing w:line="312" w:lineRule="auto"/>
        <w:ind w:left="142" w:right="-483" w:rightChars="-230" w:firstLineChars="0"/>
      </w:pPr>
      <w:r>
        <w:rPr>
          <w:rFonts w:hint="eastAsia"/>
          <w:highlight w:val="yellow"/>
        </w:rPr>
        <w:t>卫报Guardian 发布的2022</w:t>
      </w:r>
      <w:r>
        <w:rPr>
          <w:highlight w:val="yellow"/>
        </w:rPr>
        <w:t>年英国大学综合排名中，斯旺西大学全英排名第</w:t>
      </w:r>
      <w:r>
        <w:rPr>
          <w:rFonts w:hint="eastAsia"/>
          <w:highlight w:val="yellow"/>
        </w:rPr>
        <w:t>24</w:t>
      </w:r>
      <w:r>
        <w:rPr>
          <w:highlight w:val="yellow"/>
        </w:rPr>
        <w:t>位！</w:t>
      </w:r>
    </w:p>
    <w:p>
      <w:pPr>
        <w:pStyle w:val="12"/>
        <w:numPr>
          <w:ilvl w:val="0"/>
          <w:numId w:val="1"/>
        </w:numPr>
        <w:spacing w:line="312" w:lineRule="auto"/>
        <w:ind w:left="142" w:right="-483" w:rightChars="-230" w:firstLineChars="0"/>
      </w:pPr>
      <w:r>
        <w:rPr>
          <w:rFonts w:hint="eastAsia"/>
          <w:highlight w:val="yellow"/>
        </w:rPr>
        <w:t>英国政府官方发布的REF科学研究实力排名中，斯旺西大学</w:t>
      </w:r>
      <w:r>
        <w:rPr>
          <w:highlight w:val="yellow"/>
        </w:rPr>
        <w:t>全英</w:t>
      </w:r>
      <w:r>
        <w:rPr>
          <w:rFonts w:hint="eastAsia"/>
          <w:highlight w:val="yellow"/>
        </w:rPr>
        <w:t>排名第26位！</w:t>
      </w:r>
    </w:p>
    <w:p>
      <w:pPr>
        <w:pStyle w:val="12"/>
        <w:numPr>
          <w:ilvl w:val="0"/>
          <w:numId w:val="1"/>
        </w:numPr>
        <w:spacing w:line="312" w:lineRule="auto"/>
        <w:ind w:left="142" w:right="-483" w:rightChars="-230" w:firstLineChars="0"/>
      </w:pPr>
      <w:r>
        <w:rPr>
          <w:highlight w:val="yellow"/>
        </w:rPr>
        <w:t>在泰晤士高等教育发布的世界大学排名中，大学位</w:t>
      </w:r>
      <w:r>
        <w:rPr>
          <w:rFonts w:hint="eastAsia"/>
          <w:highlight w:val="yellow"/>
        </w:rPr>
        <w:t>列全球</w:t>
      </w:r>
      <w:r>
        <w:rPr>
          <w:highlight w:val="yellow"/>
        </w:rPr>
        <w:t>第</w:t>
      </w:r>
      <w:r>
        <w:rPr>
          <w:rFonts w:hint="eastAsia"/>
          <w:highlight w:val="yellow"/>
        </w:rPr>
        <w:t>251-300</w:t>
      </w:r>
      <w:r>
        <w:rPr>
          <w:highlight w:val="yellow"/>
        </w:rPr>
        <w:t>区间！</w:t>
      </w:r>
    </w:p>
    <w:p>
      <w:pPr>
        <w:pStyle w:val="12"/>
        <w:numPr>
          <w:ilvl w:val="0"/>
          <w:numId w:val="1"/>
        </w:numPr>
        <w:spacing w:line="312" w:lineRule="auto"/>
        <w:ind w:left="142" w:right="-624" w:rightChars="-297" w:firstLineChars="0"/>
      </w:pPr>
      <w:r>
        <w:rPr>
          <w:rFonts w:hint="eastAsia"/>
        </w:rPr>
        <w:t>英国政府官方发布的TEF</w:t>
      </w:r>
      <w:r>
        <w:rPr>
          <w:rFonts w:hint="eastAsia" w:ascii="Calibri" w:cs="Calibri"/>
        </w:rPr>
        <w:t xml:space="preserve"> (</w:t>
      </w:r>
      <w:r>
        <w:rPr>
          <w:rFonts w:hint="eastAsia"/>
        </w:rPr>
        <w:t>教学卓越框架---针对英国大学教学质量的评估体系)教学质量中，斯旺西大学获得金奖！</w:t>
      </w:r>
    </w:p>
    <w:p>
      <w:pPr>
        <w:pStyle w:val="12"/>
        <w:numPr>
          <w:ilvl w:val="0"/>
          <w:numId w:val="1"/>
        </w:numPr>
        <w:spacing w:line="312" w:lineRule="auto"/>
        <w:ind w:left="142" w:right="-624" w:rightChars="-297" w:firstLineChars="0"/>
        <w:rPr>
          <w:rFonts w:ascii="Times New Roman" w:hAnsi="Times New Roman" w:eastAsia="宋体" w:cs="Times New Roman"/>
          <w:b/>
          <w:szCs w:val="21"/>
        </w:rPr>
      </w:pPr>
      <w:r>
        <w:rPr>
          <w:rFonts w:hint="eastAsia"/>
        </w:rPr>
        <w:t>泰晤士报发布的2019年优秀大学指南中，斯旺西大学获得UK University of the Year（英国年度最佳大学）第2名，并再次获得Welsh University of the Year（威尔士年度最佳大学）荣誉！</w:t>
      </w:r>
    </w:p>
    <w:p>
      <w:pPr>
        <w:pStyle w:val="12"/>
        <w:numPr>
          <w:ilvl w:val="0"/>
          <w:numId w:val="1"/>
        </w:numPr>
        <w:spacing w:line="312" w:lineRule="auto"/>
        <w:ind w:left="142" w:right="-624" w:rightChars="-297" w:firstLineChars="0"/>
        <w:rPr>
          <w:rFonts w:ascii="Times New Roman" w:hAnsi="宋体" w:eastAsia="宋体" w:cs="Times New Roman"/>
          <w:szCs w:val="21"/>
          <w:lang w:val="en-GB"/>
        </w:rPr>
      </w:pPr>
      <w:r>
        <w:rPr>
          <w:rFonts w:ascii="Times New Roman" w:hAnsi="宋体" w:eastAsia="宋体" w:cs="Times New Roman"/>
          <w:szCs w:val="21"/>
          <w:lang w:val="en-GB"/>
        </w:rPr>
        <w:t>大学的课程都为学生的未来职业发展做出了考量，因而大学毕业生就业能力排在全英第</w:t>
      </w:r>
      <w:r>
        <w:rPr>
          <w:rFonts w:hint="eastAsia" w:ascii="Times New Roman" w:hAnsi="Times New Roman" w:eastAsia="宋体" w:cs="Times New Roman"/>
          <w:szCs w:val="21"/>
          <w:lang w:val="en-GB"/>
        </w:rPr>
        <w:t>5</w:t>
      </w:r>
      <w:r>
        <w:rPr>
          <w:rFonts w:ascii="Times New Roman" w:hAnsi="宋体" w:eastAsia="宋体" w:cs="Times New Roman"/>
          <w:szCs w:val="21"/>
          <w:lang w:val="en-GB"/>
        </w:rPr>
        <w:t>位</w:t>
      </w:r>
      <w:r>
        <w:rPr>
          <w:rFonts w:hint="eastAsia" w:ascii="Times New Roman" w:hAnsi="宋体" w:eastAsia="宋体" w:cs="Times New Roman"/>
          <w:szCs w:val="21"/>
          <w:lang w:val="en-GB"/>
        </w:rPr>
        <w:t>！</w:t>
      </w:r>
    </w:p>
    <w:p>
      <w:pPr>
        <w:pStyle w:val="12"/>
        <w:numPr>
          <w:ilvl w:val="0"/>
          <w:numId w:val="1"/>
        </w:numPr>
        <w:spacing w:line="312" w:lineRule="auto"/>
        <w:ind w:left="142" w:right="-624" w:rightChars="-297" w:firstLineChars="0"/>
        <w:rPr>
          <w:rFonts w:ascii="Times New Roman" w:hAnsi="宋体" w:eastAsia="宋体" w:cs="Times New Roman"/>
          <w:szCs w:val="21"/>
          <w:lang w:val="en-GB"/>
        </w:rPr>
      </w:pPr>
      <w:r>
        <w:rPr>
          <w:rFonts w:hint="eastAsia" w:ascii="Times New Roman" w:hAnsi="宋体" w:eastAsia="宋体" w:cs="Times New Roman"/>
          <w:szCs w:val="21"/>
          <w:lang w:val="en-GB"/>
        </w:rPr>
        <w:t>英国全国学生满意度调查（NSS）中，斯旺西大学排名全英T</w:t>
      </w:r>
      <w:r>
        <w:rPr>
          <w:rFonts w:ascii="Times New Roman" w:hAnsi="宋体" w:eastAsia="宋体" w:cs="Times New Roman"/>
          <w:szCs w:val="21"/>
          <w:lang w:val="en-GB"/>
        </w:rPr>
        <w:t>op</w:t>
      </w:r>
      <w:r>
        <w:rPr>
          <w:rFonts w:hint="eastAsia" w:ascii="Times New Roman" w:hAnsi="宋体" w:eastAsia="宋体" w:cs="Times New Roman"/>
          <w:szCs w:val="21"/>
          <w:lang w:val="en-GB"/>
        </w:rPr>
        <w:t xml:space="preserve"> 4</w:t>
      </w:r>
      <w:r>
        <w:rPr>
          <w:rFonts w:hint="eastAsia"/>
        </w:rPr>
        <w:t>！</w:t>
      </w:r>
      <w:r>
        <w:rPr>
          <w:rFonts w:hint="eastAsia" w:ascii="Times New Roman" w:hAnsi="宋体" w:eastAsia="宋体" w:cs="Times New Roman"/>
          <w:szCs w:val="21"/>
          <w:lang w:val="en-GB"/>
        </w:rPr>
        <w:t>88%的学生对大学的课程表示满意</w:t>
      </w:r>
      <w:r>
        <w:rPr>
          <w:rFonts w:hint="eastAsia"/>
        </w:rPr>
        <w:t>！</w:t>
      </w:r>
    </w:p>
    <w:p>
      <w:pPr>
        <w:pStyle w:val="12"/>
        <w:numPr>
          <w:ilvl w:val="0"/>
          <w:numId w:val="1"/>
        </w:numPr>
        <w:spacing w:line="312" w:lineRule="auto"/>
        <w:ind w:left="142" w:right="-624" w:rightChars="-297" w:firstLineChars="0"/>
      </w:pPr>
      <w:r>
        <w:rPr>
          <w:rFonts w:hint="eastAsia"/>
        </w:rPr>
        <w:t>斯旺西大学被卫报评为全英“最美绿色大学”之一，位列全英第九位以及威尔士第一位！</w:t>
      </w:r>
    </w:p>
    <w:p>
      <w:pPr>
        <w:pStyle w:val="12"/>
        <w:numPr>
          <w:ilvl w:val="0"/>
          <w:numId w:val="1"/>
        </w:numPr>
        <w:spacing w:line="312" w:lineRule="auto"/>
        <w:ind w:left="142" w:right="-1474" w:rightChars="-702" w:firstLineChars="0"/>
      </w:pPr>
      <w:r>
        <w:rPr>
          <w:highlight w:val="yellow"/>
        </w:rPr>
        <w:t>斯旺西大学</w:t>
      </w:r>
      <w:r>
        <w:rPr>
          <w:rFonts w:hint="eastAsia"/>
          <w:highlight w:val="yellow"/>
        </w:rPr>
        <w:t>举办线上</w:t>
      </w:r>
      <w:r>
        <w:rPr>
          <w:rFonts w:hint="eastAsia"/>
          <w:b/>
          <w:highlight w:val="yellow"/>
        </w:rPr>
        <w:t>英语内测</w:t>
      </w:r>
      <w:r>
        <w:rPr>
          <w:rFonts w:hint="eastAsia"/>
          <w:highlight w:val="yellow"/>
        </w:rPr>
        <w:t>，</w:t>
      </w:r>
      <w:r>
        <w:rPr>
          <w:highlight w:val="yellow"/>
        </w:rPr>
        <w:t>内测成绩可替代雅思</w:t>
      </w:r>
      <w:r>
        <w:rPr>
          <w:rFonts w:hint="eastAsia"/>
          <w:highlight w:val="yellow"/>
        </w:rPr>
        <w:t>，</w:t>
      </w:r>
      <w:r>
        <w:rPr>
          <w:highlight w:val="yellow"/>
        </w:rPr>
        <w:t>用于申请正课及语言课程和办理签证</w:t>
      </w:r>
    </w:p>
    <w:p>
      <w:pPr>
        <w:pStyle w:val="12"/>
        <w:numPr>
          <w:ilvl w:val="0"/>
          <w:numId w:val="1"/>
        </w:numPr>
        <w:spacing w:line="312" w:lineRule="auto"/>
        <w:ind w:left="142" w:right="-624" w:rightChars="-297" w:firstLineChars="0"/>
      </w:pPr>
      <w:r>
        <w:rPr>
          <w:rFonts w:hint="eastAsia"/>
          <w:highlight w:val="yellow"/>
        </w:rPr>
        <w:t>2021年7月开始实施毕业生工作签证政策，本科或硕士毕业后可以留在英国工作两年</w:t>
      </w:r>
    </w:p>
    <w:p>
      <w:pPr>
        <w:pStyle w:val="12"/>
        <w:numPr>
          <w:ilvl w:val="0"/>
          <w:numId w:val="1"/>
        </w:numPr>
        <w:spacing w:line="312" w:lineRule="auto"/>
        <w:ind w:left="142" w:right="-624" w:rightChars="-297" w:firstLineChars="0"/>
      </w:pPr>
      <w:r>
        <w:rPr>
          <w:rFonts w:hint="eastAsia"/>
          <w:highlight w:val="green"/>
        </w:rPr>
        <w:t>大学提供20多个硕士专业可以接受转专业申请，包含商科管理及多种分支方向（人力资源、市场营销、商业分析、供应链等）、会计与金融、新闻传媒、中英文翻译、英语教育等</w:t>
      </w:r>
    </w:p>
    <w:p>
      <w:pPr>
        <w:spacing w:line="300" w:lineRule="auto"/>
        <w:ind w:left="-283" w:leftChars="-135" w:right="-624" w:rightChars="-297" w:firstLine="388" w:firstLineChars="185"/>
        <w:rPr>
          <w:rFonts w:hAnsi="宋体"/>
          <w:szCs w:val="21"/>
        </w:rPr>
      </w:pPr>
    </w:p>
    <w:p>
      <w:pPr>
        <w:spacing w:line="300" w:lineRule="auto"/>
        <w:ind w:left="-283" w:leftChars="-135" w:right="-624" w:rightChars="-297" w:firstLine="388" w:firstLineChars="185"/>
        <w:rPr>
          <w:rFonts w:hAnsi="宋体"/>
          <w:szCs w:val="21"/>
        </w:rPr>
      </w:pPr>
    </w:p>
    <w:p>
      <w:pPr>
        <w:spacing w:line="300" w:lineRule="auto"/>
        <w:ind w:left="-283" w:leftChars="-135" w:right="-624" w:rightChars="-297" w:firstLine="388" w:firstLineChars="185"/>
        <w:rPr>
          <w:rFonts w:hAnsi="宋体"/>
          <w:szCs w:val="21"/>
        </w:rPr>
      </w:pPr>
    </w:p>
    <w:p>
      <w:pPr>
        <w:spacing w:line="312" w:lineRule="auto"/>
        <w:ind w:left="-283" w:leftChars="-135" w:right="-624" w:rightChars="-297" w:firstLine="388" w:firstLineChars="185"/>
        <w:rPr>
          <w:rFonts w:hAnsi="宋体"/>
          <w:szCs w:val="21"/>
        </w:rPr>
      </w:pPr>
      <w:r>
        <w:rPr>
          <w:rFonts w:hAnsi="宋体"/>
          <w:szCs w:val="21"/>
        </w:rPr>
        <w:drawing>
          <wp:anchor distT="0" distB="0" distL="114300" distR="114300" simplePos="0" relativeHeight="251660288" behindDoc="0" locked="0" layoutInCell="1" allowOverlap="1">
            <wp:simplePos x="0" y="0"/>
            <wp:positionH relativeFrom="column">
              <wp:posOffset>2933700</wp:posOffset>
            </wp:positionH>
            <wp:positionV relativeFrom="paragraph">
              <wp:posOffset>-95250</wp:posOffset>
            </wp:positionV>
            <wp:extent cx="3200400" cy="2133600"/>
            <wp:effectExtent l="19050" t="0" r="0" b="0"/>
            <wp:wrapSquare wrapText="bothSides"/>
            <wp:docPr id="4" name="图片 1" descr="C:\Users\zhanglei\Desktop\斯旺西图片\8f90001c-e349-48d6-a4e8-6c696d70d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zhanglei\Desktop\斯旺西图片\8f90001c-e349-48d6-a4e8-6c696d70dc19.jpg"/>
                    <pic:cNvPicPr>
                      <a:picLocks noChangeAspect="1" noChangeArrowheads="1"/>
                    </pic:cNvPicPr>
                  </pic:nvPicPr>
                  <pic:blipFill>
                    <a:blip r:embed="rId5" cstate="print"/>
                    <a:srcRect/>
                    <a:stretch>
                      <a:fillRect/>
                    </a:stretch>
                  </pic:blipFill>
                  <pic:spPr>
                    <a:xfrm>
                      <a:off x="0" y="0"/>
                      <a:ext cx="3200400" cy="2133600"/>
                    </a:xfrm>
                    <a:prstGeom prst="rect">
                      <a:avLst/>
                    </a:prstGeom>
                    <a:noFill/>
                    <a:ln w="9525">
                      <a:noFill/>
                      <a:miter lim="800000"/>
                      <a:headEnd/>
                      <a:tailEnd/>
                    </a:ln>
                  </pic:spPr>
                </pic:pic>
              </a:graphicData>
            </a:graphic>
          </wp:anchor>
        </w:drawing>
      </w:r>
      <w:r>
        <w:rPr>
          <w:rFonts w:hAnsi="宋体"/>
          <w:szCs w:val="21"/>
        </w:rPr>
        <w:t>斯旺西大学</w:t>
      </w:r>
      <w:r>
        <w:rPr>
          <w:rFonts w:hint="eastAsia" w:hAnsi="宋体"/>
          <w:szCs w:val="21"/>
        </w:rPr>
        <w:t>位于</w:t>
      </w:r>
      <w:r>
        <w:rPr>
          <w:rFonts w:hAnsi="宋体"/>
          <w:szCs w:val="21"/>
        </w:rPr>
        <w:t>斯旺西市中心地带，是英国少有独立校园区的花园海滨式大学。</w:t>
      </w:r>
      <w:r>
        <w:rPr>
          <w:rFonts w:hint="eastAsia" w:hAnsi="宋体"/>
          <w:szCs w:val="21"/>
        </w:rPr>
        <w:t xml:space="preserve"> </w:t>
      </w:r>
      <w:r>
        <w:rPr>
          <w:rFonts w:hAnsi="宋体"/>
          <w:szCs w:val="21"/>
          <w:lang w:val="en-GB"/>
        </w:rPr>
        <w:t>大学有两个校区</w:t>
      </w:r>
      <w:r>
        <w:rPr>
          <w:rFonts w:hint="eastAsia" w:hAnsi="宋体"/>
          <w:szCs w:val="21"/>
          <w:lang w:val="en-GB"/>
        </w:rPr>
        <w:t>：</w:t>
      </w:r>
      <w:r>
        <w:rPr>
          <w:szCs w:val="21"/>
        </w:rPr>
        <w:t xml:space="preserve">Singleton Campus </w:t>
      </w:r>
      <w:r>
        <w:rPr>
          <w:rFonts w:hAnsi="宋体"/>
          <w:szCs w:val="21"/>
        </w:rPr>
        <w:t>（辛格顿校区）</w:t>
      </w:r>
      <w:r>
        <w:rPr>
          <w:szCs w:val="21"/>
        </w:rPr>
        <w:t xml:space="preserve">- </w:t>
      </w:r>
      <w:r>
        <w:rPr>
          <w:rFonts w:hAnsi="宋体"/>
          <w:szCs w:val="21"/>
        </w:rPr>
        <w:t>座落在巨大的辛格顿公园内。校园与海滩紧紧相依，</w:t>
      </w:r>
      <w:r>
        <w:rPr>
          <w:rFonts w:hint="eastAsia" w:hAnsi="宋体"/>
          <w:szCs w:val="21"/>
        </w:rPr>
        <w:t>海岸线</w:t>
      </w:r>
      <w:r>
        <w:rPr>
          <w:rFonts w:hAnsi="宋体"/>
          <w:szCs w:val="21"/>
        </w:rPr>
        <w:t>和周围的自然景色为学生提供了极好的学习和生活环境</w:t>
      </w:r>
      <w:r>
        <w:rPr>
          <w:rFonts w:hint="eastAsia" w:hAnsi="宋体"/>
          <w:szCs w:val="21"/>
        </w:rPr>
        <w:t>；</w:t>
      </w:r>
      <w:r>
        <w:rPr>
          <w:szCs w:val="21"/>
          <w:lang w:val="en-GB"/>
        </w:rPr>
        <w:t xml:space="preserve">Bay Campus </w:t>
      </w:r>
      <w:r>
        <w:rPr>
          <w:rFonts w:hAnsi="宋体"/>
          <w:szCs w:val="21"/>
          <w:lang w:val="en-GB"/>
        </w:rPr>
        <w:t>（海湾校区）</w:t>
      </w:r>
      <w:r>
        <w:rPr>
          <w:szCs w:val="21"/>
          <w:lang w:val="en-GB"/>
        </w:rPr>
        <w:t xml:space="preserve">- </w:t>
      </w:r>
      <w:r>
        <w:rPr>
          <w:rFonts w:hAnsi="宋体"/>
          <w:szCs w:val="21"/>
          <w:lang w:val="en-GB"/>
        </w:rPr>
        <w:t>投资</w:t>
      </w:r>
      <w:r>
        <w:rPr>
          <w:szCs w:val="21"/>
          <w:lang w:val="en-GB"/>
        </w:rPr>
        <w:t>4.5</w:t>
      </w:r>
      <w:r>
        <w:rPr>
          <w:rFonts w:hAnsi="宋体"/>
          <w:szCs w:val="21"/>
          <w:lang w:val="en-GB"/>
        </w:rPr>
        <w:t>亿英镑建设的新校区</w:t>
      </w:r>
      <w:r>
        <w:rPr>
          <w:rFonts w:hint="eastAsia" w:hAnsi="宋体"/>
          <w:szCs w:val="21"/>
          <w:lang w:val="en-GB"/>
        </w:rPr>
        <w:t>，</w:t>
      </w:r>
      <w:r>
        <w:rPr>
          <w:rFonts w:hAnsi="宋体"/>
          <w:szCs w:val="21"/>
          <w:lang w:val="en-GB"/>
        </w:rPr>
        <w:t>工程学院</w:t>
      </w:r>
      <w:r>
        <w:rPr>
          <w:rFonts w:hint="eastAsia" w:hAnsi="宋体"/>
          <w:szCs w:val="21"/>
          <w:lang w:val="en-GB"/>
        </w:rPr>
        <w:t>、</w:t>
      </w:r>
      <w:r>
        <w:rPr>
          <w:rFonts w:hAnsi="宋体"/>
          <w:szCs w:val="21"/>
          <w:lang w:val="en-GB"/>
        </w:rPr>
        <w:t>管理学院</w:t>
      </w:r>
      <w:r>
        <w:rPr>
          <w:rFonts w:hint="eastAsia" w:hAnsi="宋体"/>
          <w:szCs w:val="21"/>
          <w:lang w:val="en-GB"/>
        </w:rPr>
        <w:t>、</w:t>
      </w:r>
      <w:r>
        <w:rPr>
          <w:rFonts w:hAnsi="宋体"/>
          <w:szCs w:val="21"/>
          <w:lang w:val="en-GB"/>
        </w:rPr>
        <w:t>计算机系位于新校区。</w:t>
      </w:r>
      <w:r>
        <w:rPr>
          <w:rFonts w:hAnsi="宋体"/>
          <w:szCs w:val="21"/>
        </w:rPr>
        <w:t>知名企业的科研实验室进驻</w:t>
      </w:r>
      <w:r>
        <w:rPr>
          <w:rFonts w:hint="eastAsia" w:hAnsi="宋体"/>
          <w:szCs w:val="21"/>
        </w:rPr>
        <w:t>该</w:t>
      </w:r>
      <w:r>
        <w:rPr>
          <w:rFonts w:hAnsi="宋体"/>
          <w:szCs w:val="21"/>
        </w:rPr>
        <w:t>校区。</w:t>
      </w:r>
    </w:p>
    <w:p>
      <w:pPr>
        <w:spacing w:line="312" w:lineRule="auto"/>
        <w:ind w:left="-283" w:leftChars="-135" w:right="-624" w:rightChars="-297" w:firstLine="388" w:firstLineChars="185"/>
        <w:rPr>
          <w:rFonts w:hAnsi="宋体"/>
          <w:szCs w:val="21"/>
        </w:rPr>
      </w:pPr>
    </w:p>
    <w:p>
      <w:pPr>
        <w:spacing w:line="312" w:lineRule="auto"/>
        <w:ind w:left="-283" w:leftChars="-135" w:right="-624" w:rightChars="-297" w:firstLine="388" w:firstLineChars="185"/>
        <w:rPr>
          <w:rFonts w:ascii="Calibri" w:cs="Calibri"/>
        </w:rPr>
      </w:pPr>
      <w:r>
        <w:rPr>
          <w:rFonts w:ascii="Calibri" w:cs="Calibri"/>
        </w:rPr>
        <w:t>大学拥有数个世界级的科研中心，与近百家一流的国际级企业和机构建立了项目合作关系，包括美国波音公司、爱立信、</w:t>
      </w:r>
      <w:r>
        <w:rPr>
          <w:rFonts w:ascii="Calibri" w:hAnsi="Calibri" w:cs="Calibri"/>
        </w:rPr>
        <w:t>IBM</w:t>
      </w:r>
      <w:r>
        <w:rPr>
          <w:rFonts w:ascii="Calibri" w:cs="Calibri"/>
        </w:rPr>
        <w:t>、劳斯莱斯、索尼、塔塔集团、华为技术公司、英国石油</w:t>
      </w:r>
      <w:r>
        <w:rPr>
          <w:rFonts w:ascii="Calibri" w:hAnsi="Calibri" w:cs="Calibri"/>
        </w:rPr>
        <w:t>BP</w:t>
      </w:r>
      <w:r>
        <w:rPr>
          <w:rFonts w:ascii="Calibri" w:cs="Calibri"/>
        </w:rPr>
        <w:t>等，为学生提供实习机会。</w:t>
      </w:r>
    </w:p>
    <w:p>
      <w:pPr>
        <w:spacing w:line="312" w:lineRule="auto"/>
        <w:jc w:val="left"/>
        <w:rPr>
          <w:rFonts w:hint="eastAsia"/>
          <w:b/>
          <w:sz w:val="24"/>
          <w:szCs w:val="24"/>
        </w:rPr>
      </w:pPr>
    </w:p>
    <w:p>
      <w:pPr>
        <w:spacing w:line="312" w:lineRule="auto"/>
        <w:jc w:val="left"/>
        <w:rPr>
          <w:b/>
          <w:sz w:val="24"/>
          <w:szCs w:val="24"/>
        </w:rPr>
      </w:pPr>
    </w:p>
    <w:p>
      <w:pPr>
        <w:spacing w:line="312" w:lineRule="auto"/>
        <w:jc w:val="left"/>
        <w:rPr>
          <w:b/>
          <w:sz w:val="28"/>
          <w:szCs w:val="28"/>
        </w:rPr>
      </w:pPr>
      <w:r>
        <w:rPr>
          <w:rFonts w:hint="eastAsia"/>
          <w:b/>
          <w:sz w:val="28"/>
          <w:szCs w:val="28"/>
        </w:rPr>
        <w:t>二、两校合作项目及入学要求</w:t>
      </w:r>
    </w:p>
    <w:p>
      <w:pPr>
        <w:widowControl/>
        <w:spacing w:line="312" w:lineRule="auto"/>
        <w:jc w:val="left"/>
        <w:rPr>
          <w:b/>
          <w:sz w:val="24"/>
          <w:szCs w:val="24"/>
        </w:rPr>
      </w:pPr>
      <w:r>
        <w:rPr>
          <w:rFonts w:hint="eastAsia"/>
          <w:b/>
          <w:sz w:val="24"/>
          <w:szCs w:val="24"/>
        </w:rPr>
        <w:t>1.  本科项目入学要求：</w:t>
      </w:r>
    </w:p>
    <w:p>
      <w:pPr>
        <w:pStyle w:val="12"/>
        <w:numPr>
          <w:ilvl w:val="0"/>
          <w:numId w:val="2"/>
        </w:numPr>
        <w:spacing w:line="312" w:lineRule="auto"/>
        <w:ind w:firstLine="4" w:firstLineChars="2"/>
        <w:jc w:val="left"/>
        <w:rPr>
          <w:szCs w:val="21"/>
        </w:rPr>
      </w:pPr>
      <w:r>
        <w:rPr>
          <w:rFonts w:hint="eastAsia"/>
          <w:szCs w:val="21"/>
        </w:rPr>
        <w:t>大学平均成绩75分以上；</w:t>
      </w:r>
    </w:p>
    <w:p>
      <w:pPr>
        <w:pStyle w:val="12"/>
        <w:numPr>
          <w:ilvl w:val="0"/>
          <w:numId w:val="2"/>
        </w:numPr>
        <w:spacing w:line="312" w:lineRule="auto"/>
        <w:ind w:firstLine="4" w:firstLineChars="2"/>
        <w:jc w:val="left"/>
        <w:rPr>
          <w:szCs w:val="21"/>
        </w:rPr>
      </w:pPr>
      <w:r>
        <w:rPr>
          <w:rFonts w:hint="eastAsia"/>
          <w:szCs w:val="21"/>
        </w:rPr>
        <w:t>雅思：总分6.0，单项不低于5.5</w:t>
      </w:r>
    </w:p>
    <w:p>
      <w:pPr>
        <w:spacing w:line="312" w:lineRule="auto"/>
        <w:ind w:right="-624" w:rightChars="-297"/>
        <w:jc w:val="left"/>
        <w:rPr>
          <w:rFonts w:hint="eastAsia" w:cs="宋体"/>
          <w:kern w:val="0"/>
          <w:szCs w:val="21"/>
        </w:rPr>
      </w:pPr>
    </w:p>
    <w:p>
      <w:pPr>
        <w:widowControl/>
        <w:spacing w:line="312" w:lineRule="auto"/>
        <w:jc w:val="left"/>
        <w:rPr>
          <w:b/>
          <w:sz w:val="24"/>
          <w:szCs w:val="24"/>
        </w:rPr>
      </w:pPr>
      <w:r>
        <w:rPr>
          <w:rFonts w:hint="eastAsia"/>
          <w:b/>
          <w:sz w:val="24"/>
          <w:szCs w:val="24"/>
        </w:rPr>
        <w:t>2  硕士项目入学要求：</w:t>
      </w:r>
    </w:p>
    <w:p>
      <w:pPr>
        <w:pStyle w:val="12"/>
        <w:numPr>
          <w:ilvl w:val="0"/>
          <w:numId w:val="3"/>
        </w:numPr>
        <w:spacing w:line="312" w:lineRule="auto"/>
        <w:ind w:firstLine="6" w:firstLineChars="0"/>
        <w:jc w:val="left"/>
        <w:rPr>
          <w:szCs w:val="21"/>
        </w:rPr>
      </w:pPr>
      <w:r>
        <w:rPr>
          <w:rFonts w:hint="eastAsia"/>
          <w:szCs w:val="21"/>
        </w:rPr>
        <w:t>大学平均成绩75分以上；</w:t>
      </w:r>
    </w:p>
    <w:p>
      <w:pPr>
        <w:pStyle w:val="12"/>
        <w:numPr>
          <w:ilvl w:val="0"/>
          <w:numId w:val="3"/>
        </w:numPr>
        <w:spacing w:line="312" w:lineRule="auto"/>
        <w:ind w:firstLine="6" w:firstLineChars="0"/>
        <w:jc w:val="left"/>
        <w:rPr>
          <w:szCs w:val="21"/>
        </w:rPr>
      </w:pPr>
      <w:r>
        <w:rPr>
          <w:rFonts w:hint="eastAsia"/>
          <w:szCs w:val="21"/>
        </w:rPr>
        <w:t>雅思：</w:t>
      </w:r>
    </w:p>
    <w:p>
      <w:pPr>
        <w:pStyle w:val="12"/>
        <w:spacing w:line="312" w:lineRule="auto"/>
        <w:ind w:left="851" w:right="-907" w:rightChars="-432" w:firstLine="0" w:firstLineChars="0"/>
        <w:jc w:val="left"/>
        <w:rPr>
          <w:szCs w:val="21"/>
        </w:rPr>
      </w:pPr>
      <w:r>
        <w:rPr>
          <w:rFonts w:hint="eastAsia"/>
          <w:szCs w:val="21"/>
        </w:rPr>
        <w:t>- 商科和经济类专业、语言教学专业、数学和计算机类专业要求总分6.0，单项不低于5.5</w:t>
      </w:r>
    </w:p>
    <w:p>
      <w:pPr>
        <w:pStyle w:val="12"/>
        <w:spacing w:line="312" w:lineRule="auto"/>
        <w:ind w:left="851" w:right="-624" w:rightChars="-297" w:firstLine="0" w:firstLineChars="0"/>
        <w:jc w:val="left"/>
        <w:rPr>
          <w:szCs w:val="21"/>
        </w:rPr>
      </w:pPr>
      <w:r>
        <w:rPr>
          <w:rFonts w:hint="eastAsia"/>
          <w:szCs w:val="21"/>
        </w:rPr>
        <w:t>- 其他专业如口笔译、</w:t>
      </w:r>
      <w:bookmarkStart w:id="0" w:name="_GoBack"/>
      <w:bookmarkEnd w:id="0"/>
      <w:r>
        <w:rPr>
          <w:rFonts w:hint="eastAsia"/>
          <w:szCs w:val="21"/>
        </w:rPr>
        <w:t>新闻传播、国际关系等要求总分6.5，单项不低于5.5（个别专业如TESOL英语教育、法学、心理学要求单项不低于6.0）</w:t>
      </w:r>
    </w:p>
    <w:p>
      <w:pPr>
        <w:pStyle w:val="12"/>
        <w:spacing w:line="312" w:lineRule="auto"/>
        <w:ind w:left="420" w:firstLine="0" w:firstLineChars="0"/>
        <w:jc w:val="left"/>
        <w:rPr>
          <w:szCs w:val="21"/>
        </w:rPr>
      </w:pPr>
    </w:p>
    <w:p>
      <w:pPr>
        <w:pStyle w:val="12"/>
        <w:spacing w:line="312" w:lineRule="auto"/>
        <w:ind w:left="420" w:right="-624" w:rightChars="-297" w:firstLine="4" w:firstLineChars="2"/>
        <w:jc w:val="left"/>
        <w:rPr>
          <w:rFonts w:hint="eastAsia" w:cs="宋体"/>
          <w:kern w:val="0"/>
          <w:szCs w:val="21"/>
        </w:rPr>
      </w:pPr>
      <w:r>
        <w:rPr>
          <w:rFonts w:hint="eastAsia" w:cs="宋体"/>
          <w:kern w:val="0"/>
          <w:szCs w:val="21"/>
        </w:rPr>
        <w:t xml:space="preserve">雅思成绩不合格的学生可以提前入读斯旺西大学的语言课程； </w:t>
      </w:r>
    </w:p>
    <w:p>
      <w:pPr>
        <w:pStyle w:val="12"/>
        <w:spacing w:line="312" w:lineRule="auto"/>
        <w:ind w:left="420" w:right="-624" w:rightChars="-297" w:firstLine="4" w:firstLineChars="2"/>
        <w:jc w:val="left"/>
        <w:rPr>
          <w:rFonts w:hint="eastAsia" w:cs="宋体"/>
          <w:kern w:val="0"/>
          <w:szCs w:val="21"/>
        </w:rPr>
      </w:pPr>
      <w:r>
        <w:rPr>
          <w:rFonts w:hint="eastAsia" w:cs="宋体"/>
          <w:kern w:val="0"/>
          <w:szCs w:val="21"/>
        </w:rPr>
        <w:t>或参加斯旺西大学的线上内测；</w:t>
      </w:r>
    </w:p>
    <w:p>
      <w:pPr>
        <w:pStyle w:val="12"/>
        <w:spacing w:line="312" w:lineRule="auto"/>
        <w:ind w:left="420" w:right="-624" w:rightChars="-297" w:firstLine="4" w:firstLineChars="2"/>
        <w:jc w:val="left"/>
        <w:rPr>
          <w:rFonts w:hint="eastAsia" w:cs="宋体"/>
          <w:kern w:val="0"/>
          <w:szCs w:val="21"/>
        </w:rPr>
      </w:pPr>
      <w:r>
        <w:rPr>
          <w:rFonts w:hint="eastAsia" w:cs="宋体"/>
          <w:kern w:val="0"/>
          <w:szCs w:val="21"/>
        </w:rPr>
        <w:t>也接受托福、PTE、大学内测等英语成绩</w:t>
      </w:r>
    </w:p>
    <w:p>
      <w:pPr>
        <w:pStyle w:val="12"/>
        <w:spacing w:line="312" w:lineRule="auto"/>
        <w:ind w:left="420" w:right="-624" w:rightChars="-297" w:firstLine="4" w:firstLineChars="2"/>
        <w:jc w:val="left"/>
        <w:rPr>
          <w:rFonts w:hint="eastAsia" w:cs="宋体"/>
          <w:kern w:val="0"/>
          <w:szCs w:val="21"/>
        </w:rPr>
      </w:pPr>
    </w:p>
    <w:p>
      <w:pPr>
        <w:pStyle w:val="12"/>
        <w:spacing w:line="312" w:lineRule="auto"/>
        <w:ind w:left="420" w:right="-624" w:rightChars="-297" w:firstLine="4" w:firstLineChars="2"/>
        <w:jc w:val="left"/>
        <w:rPr>
          <w:rFonts w:hint="eastAsia" w:cs="宋体"/>
          <w:kern w:val="0"/>
          <w:szCs w:val="21"/>
        </w:rPr>
      </w:pPr>
    </w:p>
    <w:p>
      <w:pPr>
        <w:pStyle w:val="12"/>
        <w:spacing w:line="312" w:lineRule="auto"/>
        <w:ind w:left="420" w:right="-624" w:rightChars="-297" w:firstLine="4" w:firstLineChars="2"/>
        <w:jc w:val="left"/>
        <w:rPr>
          <w:rFonts w:hint="eastAsia" w:cs="宋体"/>
          <w:kern w:val="0"/>
          <w:szCs w:val="21"/>
        </w:rPr>
      </w:pPr>
    </w:p>
    <w:p>
      <w:pPr>
        <w:pStyle w:val="12"/>
        <w:spacing w:line="312" w:lineRule="auto"/>
        <w:ind w:left="420" w:right="-624" w:rightChars="-297" w:firstLine="4" w:firstLineChars="2"/>
        <w:jc w:val="left"/>
        <w:rPr>
          <w:rFonts w:cs="宋体"/>
          <w:kern w:val="0"/>
          <w:szCs w:val="21"/>
        </w:rPr>
      </w:pPr>
    </w:p>
    <w:p>
      <w:pPr>
        <w:spacing w:line="276" w:lineRule="auto"/>
        <w:jc w:val="left"/>
        <w:rPr>
          <w:rFonts w:ascii="Calibri" w:hAnsi="Calibri" w:eastAsia="宋体" w:cs="Times New Roman"/>
          <w:b/>
          <w:sz w:val="28"/>
          <w:szCs w:val="28"/>
        </w:rPr>
      </w:pPr>
      <w:r>
        <w:rPr>
          <w:rFonts w:hint="eastAsia"/>
          <w:b/>
          <w:sz w:val="28"/>
          <w:szCs w:val="28"/>
        </w:rPr>
        <w:t>三.</w:t>
      </w:r>
      <w:r>
        <w:rPr>
          <w:rFonts w:hint="eastAsia" w:ascii="Calibri" w:hAnsi="Calibri" w:eastAsia="宋体" w:cs="Times New Roman"/>
          <w:b/>
          <w:sz w:val="28"/>
          <w:szCs w:val="28"/>
        </w:rPr>
        <w:t xml:space="preserve">  费用信息</w:t>
      </w:r>
    </w:p>
    <w:p>
      <w:pPr>
        <w:numPr>
          <w:ilvl w:val="0"/>
          <w:numId w:val="4"/>
        </w:numPr>
        <w:spacing w:line="276" w:lineRule="auto"/>
        <w:rPr>
          <w:rFonts w:ascii="Calibri" w:hAnsi="Calibri" w:eastAsia="宋体" w:cs="Times New Roman"/>
          <w:b/>
          <w:szCs w:val="21"/>
        </w:rPr>
      </w:pPr>
      <w:r>
        <w:rPr>
          <w:rFonts w:hint="eastAsia" w:ascii="Calibri" w:hAnsi="Calibri" w:eastAsia="宋体" w:cs="Times New Roman"/>
          <w:b/>
          <w:szCs w:val="21"/>
        </w:rPr>
        <w:t xml:space="preserve">学费/年  (2021-2022学年) </w:t>
      </w:r>
    </w:p>
    <w:tbl>
      <w:tblPr>
        <w:tblStyle w:val="6"/>
        <w:tblW w:w="893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9"/>
        <w:gridCol w:w="1985"/>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4679" w:type="dxa"/>
            <w:vAlign w:val="center"/>
          </w:tcPr>
          <w:p>
            <w:pPr>
              <w:spacing w:line="276" w:lineRule="auto"/>
              <w:jc w:val="center"/>
              <w:rPr>
                <w:rFonts w:ascii="Calibri" w:hAnsi="Calibri" w:eastAsia="宋体" w:cs="Times New Roman"/>
                <w:b/>
                <w:szCs w:val="21"/>
              </w:rPr>
            </w:pPr>
            <w:r>
              <w:rPr>
                <w:rFonts w:hint="eastAsia" w:ascii="Calibri" w:hAnsi="宋体" w:eastAsia="宋体" w:cs="Times New Roman"/>
                <w:b/>
                <w:szCs w:val="21"/>
              </w:rPr>
              <w:t>专业</w:t>
            </w:r>
          </w:p>
        </w:tc>
        <w:tc>
          <w:tcPr>
            <w:tcW w:w="1985" w:type="dxa"/>
            <w:vAlign w:val="center"/>
          </w:tcPr>
          <w:p>
            <w:pPr>
              <w:spacing w:line="276" w:lineRule="auto"/>
              <w:jc w:val="center"/>
              <w:rPr>
                <w:rFonts w:ascii="Calibri" w:hAnsi="Calibri" w:eastAsia="宋体" w:cs="Times New Roman"/>
                <w:b/>
                <w:szCs w:val="21"/>
              </w:rPr>
            </w:pPr>
            <w:r>
              <w:rPr>
                <w:rFonts w:ascii="Calibri" w:hAnsi="宋体" w:eastAsia="宋体" w:cs="Times New Roman"/>
                <w:b/>
                <w:szCs w:val="21"/>
              </w:rPr>
              <w:t>本科</w:t>
            </w:r>
          </w:p>
        </w:tc>
        <w:tc>
          <w:tcPr>
            <w:tcW w:w="2268" w:type="dxa"/>
            <w:vAlign w:val="center"/>
          </w:tcPr>
          <w:p>
            <w:pPr>
              <w:spacing w:line="276" w:lineRule="auto"/>
              <w:jc w:val="center"/>
              <w:rPr>
                <w:rFonts w:ascii="Calibri" w:hAnsi="Calibri" w:eastAsia="宋体" w:cs="Times New Roman"/>
                <w:b/>
                <w:szCs w:val="21"/>
              </w:rPr>
            </w:pPr>
            <w:r>
              <w:rPr>
                <w:rFonts w:ascii="Calibri" w:hAnsi="宋体" w:eastAsia="宋体" w:cs="Times New Roman"/>
                <w:b/>
                <w:szCs w:val="21"/>
              </w:rPr>
              <w:t>硕士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79" w:type="dxa"/>
            <w:vAlign w:val="center"/>
          </w:tcPr>
          <w:p>
            <w:pPr>
              <w:spacing w:line="276" w:lineRule="auto"/>
              <w:jc w:val="center"/>
              <w:rPr>
                <w:rFonts w:ascii="Calibri" w:hAnsi="Calibri" w:eastAsia="宋体" w:cs="Calibri"/>
                <w:szCs w:val="21"/>
              </w:rPr>
            </w:pPr>
            <w:r>
              <w:rPr>
                <w:rFonts w:ascii="Calibri" w:hAnsi="Calibri" w:eastAsia="宋体" w:cs="Calibri"/>
                <w:szCs w:val="21"/>
              </w:rPr>
              <w:t>英语、英语教育</w:t>
            </w:r>
            <w:r>
              <w:rPr>
                <w:rFonts w:hint="eastAsia" w:ascii="Calibri" w:hAnsi="Calibri" w:eastAsia="宋体" w:cs="Calibri"/>
                <w:szCs w:val="21"/>
              </w:rPr>
              <w:t>TESOL</w:t>
            </w:r>
            <w:r>
              <w:rPr>
                <w:rFonts w:ascii="Calibri" w:hAnsi="Calibri" w:eastAsia="宋体" w:cs="Calibri"/>
                <w:szCs w:val="21"/>
              </w:rPr>
              <w:t>、英语文学</w:t>
            </w:r>
            <w:r>
              <w:rPr>
                <w:rFonts w:hint="eastAsia" w:ascii="Calibri" w:hAnsi="Calibri" w:eastAsia="宋体" w:cs="Calibri"/>
                <w:szCs w:val="21"/>
              </w:rPr>
              <w:t>、</w:t>
            </w:r>
            <w:r>
              <w:rPr>
                <w:rFonts w:ascii="Calibri" w:hAnsi="Calibri" w:eastAsia="宋体" w:cs="Calibri"/>
                <w:szCs w:val="21"/>
              </w:rPr>
              <w:t>中英文翻译和语言教学</w:t>
            </w:r>
          </w:p>
        </w:tc>
        <w:tc>
          <w:tcPr>
            <w:tcW w:w="1985" w:type="dxa"/>
            <w:vAlign w:val="center"/>
          </w:tcPr>
          <w:p>
            <w:pPr>
              <w:pStyle w:val="5"/>
              <w:spacing w:before="0" w:after="0"/>
              <w:jc w:val="center"/>
              <w:rPr>
                <w:rFonts w:asciiTheme="minorHAnsi" w:hAnsiTheme="minorHAnsi" w:cstheme="minorHAnsi"/>
                <w:sz w:val="21"/>
                <w:szCs w:val="21"/>
              </w:rPr>
            </w:pPr>
            <w:r>
              <w:rPr>
                <w:rFonts w:asciiTheme="minorHAnsi" w:hAnsiTheme="minorHAnsi" w:cstheme="minorHAnsi"/>
                <w:sz w:val="21"/>
                <w:szCs w:val="21"/>
              </w:rPr>
              <w:t>15400英镑</w:t>
            </w:r>
          </w:p>
        </w:tc>
        <w:tc>
          <w:tcPr>
            <w:tcW w:w="2268" w:type="dxa"/>
            <w:vAlign w:val="center"/>
          </w:tcPr>
          <w:p>
            <w:pPr>
              <w:pStyle w:val="5"/>
              <w:spacing w:before="0" w:after="0"/>
              <w:jc w:val="center"/>
              <w:rPr>
                <w:rFonts w:asciiTheme="minorHAnsi" w:hAnsiTheme="minorHAnsi" w:cstheme="minorHAnsi"/>
                <w:sz w:val="21"/>
                <w:szCs w:val="21"/>
              </w:rPr>
            </w:pPr>
            <w:r>
              <w:rPr>
                <w:rFonts w:asciiTheme="minorHAnsi" w:hAnsiTheme="minorHAnsi" w:cstheme="minorHAnsi"/>
                <w:color w:val="000000"/>
                <w:kern w:val="2"/>
                <w:sz w:val="21"/>
                <w:szCs w:val="21"/>
              </w:rPr>
              <w:t>16150英镑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4679" w:type="dxa"/>
            <w:vAlign w:val="center"/>
          </w:tcPr>
          <w:p>
            <w:pPr>
              <w:spacing w:line="276" w:lineRule="auto"/>
              <w:jc w:val="center"/>
              <w:rPr>
                <w:rFonts w:ascii="Calibri" w:hAnsi="宋体" w:eastAsia="宋体" w:cs="Times New Roman"/>
                <w:b/>
                <w:szCs w:val="21"/>
              </w:rPr>
            </w:pPr>
            <w:r>
              <w:rPr>
                <w:rFonts w:hint="eastAsia" w:ascii="Calibri" w:hAnsi="Calibri" w:eastAsia="宋体" w:cs="Times New Roman"/>
                <w:szCs w:val="21"/>
              </w:rPr>
              <w:t>翻译（口笔译、专业翻译）</w:t>
            </w:r>
          </w:p>
        </w:tc>
        <w:tc>
          <w:tcPr>
            <w:tcW w:w="1985" w:type="dxa"/>
            <w:vAlign w:val="center"/>
          </w:tcPr>
          <w:p>
            <w:pPr>
              <w:spacing w:line="276" w:lineRule="auto"/>
              <w:jc w:val="center"/>
              <w:rPr>
                <w:rFonts w:eastAsia="宋体" w:cstheme="minorHAnsi"/>
                <w:szCs w:val="21"/>
              </w:rPr>
            </w:pPr>
            <w:r>
              <w:rPr>
                <w:rFonts w:eastAsia="宋体" w:cstheme="minorHAnsi"/>
                <w:szCs w:val="21"/>
              </w:rPr>
              <w:t>15400英镑</w:t>
            </w:r>
          </w:p>
        </w:tc>
        <w:tc>
          <w:tcPr>
            <w:tcW w:w="2268" w:type="dxa"/>
            <w:vAlign w:val="center"/>
          </w:tcPr>
          <w:p>
            <w:pPr>
              <w:spacing w:line="276" w:lineRule="auto"/>
              <w:jc w:val="center"/>
              <w:rPr>
                <w:rFonts w:eastAsia="宋体" w:cstheme="minorHAnsi"/>
                <w:szCs w:val="21"/>
              </w:rPr>
            </w:pPr>
            <w:r>
              <w:rPr>
                <w:rFonts w:eastAsia="宋体" w:cstheme="minorHAnsi"/>
                <w:szCs w:val="21"/>
              </w:rPr>
              <w:t>17300</w:t>
            </w:r>
            <w:r>
              <w:rPr>
                <w:rFonts w:hAnsi="Calibri" w:eastAsia="宋体" w:cstheme="minorHAnsi"/>
                <w:szCs w:val="21"/>
              </w:rPr>
              <w:t>英镑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679" w:type="dxa"/>
            <w:vAlign w:val="center"/>
          </w:tcPr>
          <w:p>
            <w:pPr>
              <w:spacing w:line="276" w:lineRule="auto"/>
              <w:jc w:val="center"/>
              <w:rPr>
                <w:rFonts w:ascii="Calibri" w:hAnsi="Calibri" w:eastAsia="宋体" w:cs="Calibri"/>
                <w:b/>
                <w:szCs w:val="21"/>
              </w:rPr>
            </w:pPr>
            <w:r>
              <w:rPr>
                <w:rFonts w:hint="eastAsia" w:ascii="Calibri" w:hAnsi="Calibri" w:eastAsia="宋体" w:cs="Times New Roman"/>
                <w:szCs w:val="21"/>
              </w:rPr>
              <w:t>新闻传媒、数字媒体、国际新闻学、媒体实践等</w:t>
            </w:r>
          </w:p>
        </w:tc>
        <w:tc>
          <w:tcPr>
            <w:tcW w:w="1985" w:type="dxa"/>
            <w:vAlign w:val="center"/>
          </w:tcPr>
          <w:p>
            <w:pPr>
              <w:spacing w:line="276" w:lineRule="auto"/>
              <w:jc w:val="center"/>
              <w:rPr>
                <w:rFonts w:eastAsia="宋体" w:cstheme="minorHAnsi"/>
                <w:szCs w:val="21"/>
              </w:rPr>
            </w:pPr>
            <w:r>
              <w:rPr>
                <w:rFonts w:eastAsia="宋体" w:cstheme="minorHAnsi"/>
                <w:szCs w:val="21"/>
              </w:rPr>
              <w:t>15400英镑</w:t>
            </w:r>
          </w:p>
        </w:tc>
        <w:tc>
          <w:tcPr>
            <w:tcW w:w="2268" w:type="dxa"/>
            <w:vAlign w:val="center"/>
          </w:tcPr>
          <w:p>
            <w:pPr>
              <w:spacing w:line="276" w:lineRule="auto"/>
              <w:jc w:val="center"/>
              <w:rPr>
                <w:rFonts w:eastAsia="宋体" w:cstheme="minorHAnsi"/>
                <w:szCs w:val="21"/>
              </w:rPr>
            </w:pPr>
            <w:r>
              <w:rPr>
                <w:rFonts w:eastAsia="宋体" w:cstheme="minorHAnsi"/>
                <w:szCs w:val="21"/>
              </w:rPr>
              <w:t>16150英镑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679" w:type="dxa"/>
            <w:vAlign w:val="center"/>
          </w:tcPr>
          <w:p>
            <w:pPr>
              <w:spacing w:line="276" w:lineRule="auto"/>
              <w:jc w:val="center"/>
              <w:rPr>
                <w:rFonts w:ascii="Calibri" w:hAnsi="Calibri" w:eastAsia="宋体" w:cs="Calibri"/>
                <w:szCs w:val="21"/>
              </w:rPr>
            </w:pPr>
            <w:r>
              <w:rPr>
                <w:rFonts w:hint="eastAsia" w:ascii="Calibri" w:hAnsi="Calibri" w:eastAsia="宋体" w:cs="Times New Roman"/>
                <w:szCs w:val="21"/>
              </w:rPr>
              <w:t>国际关系学、政治学、教育学</w:t>
            </w:r>
          </w:p>
        </w:tc>
        <w:tc>
          <w:tcPr>
            <w:tcW w:w="1985" w:type="dxa"/>
            <w:vAlign w:val="center"/>
          </w:tcPr>
          <w:p>
            <w:pPr>
              <w:spacing w:line="276" w:lineRule="auto"/>
              <w:jc w:val="center"/>
              <w:rPr>
                <w:rFonts w:eastAsia="宋体" w:cstheme="minorHAnsi"/>
                <w:szCs w:val="21"/>
              </w:rPr>
            </w:pPr>
            <w:r>
              <w:rPr>
                <w:rFonts w:eastAsia="宋体" w:cstheme="minorHAnsi"/>
                <w:szCs w:val="21"/>
              </w:rPr>
              <w:t>15950英镑</w:t>
            </w:r>
          </w:p>
        </w:tc>
        <w:tc>
          <w:tcPr>
            <w:tcW w:w="2268" w:type="dxa"/>
            <w:vAlign w:val="center"/>
          </w:tcPr>
          <w:p>
            <w:pPr>
              <w:spacing w:line="276" w:lineRule="auto"/>
              <w:jc w:val="center"/>
              <w:rPr>
                <w:rFonts w:eastAsia="宋体" w:cstheme="minorHAnsi"/>
                <w:szCs w:val="21"/>
              </w:rPr>
            </w:pPr>
            <w:r>
              <w:rPr>
                <w:rFonts w:eastAsia="宋体" w:cstheme="minorHAnsi"/>
                <w:szCs w:val="21"/>
              </w:rPr>
              <w:t>16150-17850英镑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679" w:type="dxa"/>
            <w:vAlign w:val="center"/>
          </w:tcPr>
          <w:p>
            <w:pPr>
              <w:jc w:val="center"/>
              <w:rPr>
                <w:szCs w:val="21"/>
              </w:rPr>
            </w:pPr>
            <w:r>
              <w:rPr>
                <w:rFonts w:hint="eastAsia"/>
                <w:szCs w:val="21"/>
              </w:rPr>
              <w:t>商科类</w:t>
            </w:r>
          </w:p>
          <w:p>
            <w:pPr>
              <w:jc w:val="center"/>
              <w:rPr>
                <w:rFonts w:hint="eastAsia"/>
                <w:szCs w:val="21"/>
              </w:rPr>
            </w:pPr>
            <w:r>
              <w:rPr>
                <w:rFonts w:hint="eastAsia"/>
                <w:szCs w:val="21"/>
              </w:rPr>
              <w:t>（管理、会计、金融、旅游管理、</w:t>
            </w:r>
          </w:p>
          <w:p>
            <w:pPr>
              <w:jc w:val="center"/>
              <w:rPr>
                <w:szCs w:val="21"/>
              </w:rPr>
            </w:pPr>
            <w:r>
              <w:rPr>
                <w:rFonts w:hint="eastAsia"/>
                <w:szCs w:val="21"/>
              </w:rPr>
              <w:t>市场营销、</w:t>
            </w:r>
            <w:r>
              <w:rPr>
                <w:rFonts w:hint="eastAsia" w:ascii="Calibri" w:hAnsi="宋体" w:eastAsia="宋体" w:cs="Times New Roman"/>
                <w:szCs w:val="21"/>
              </w:rPr>
              <w:t>人力资源、</w:t>
            </w:r>
            <w:r>
              <w:rPr>
                <w:rFonts w:hint="eastAsia"/>
                <w:szCs w:val="21"/>
              </w:rPr>
              <w:t>经济贸易等）</w:t>
            </w:r>
          </w:p>
        </w:tc>
        <w:tc>
          <w:tcPr>
            <w:tcW w:w="1985" w:type="dxa"/>
            <w:vAlign w:val="center"/>
          </w:tcPr>
          <w:p>
            <w:pPr>
              <w:spacing w:line="276" w:lineRule="auto"/>
              <w:jc w:val="center"/>
              <w:rPr>
                <w:rFonts w:eastAsia="宋体" w:cstheme="minorHAnsi"/>
                <w:szCs w:val="21"/>
              </w:rPr>
            </w:pPr>
            <w:r>
              <w:rPr>
                <w:rFonts w:cstheme="minorHAnsi"/>
                <w:color w:val="000000"/>
                <w:szCs w:val="21"/>
              </w:rPr>
              <w:t>16400</w:t>
            </w:r>
            <w:r>
              <w:rPr>
                <w:rFonts w:eastAsia="宋体" w:cstheme="minorHAnsi"/>
                <w:szCs w:val="21"/>
              </w:rPr>
              <w:t>英镑</w:t>
            </w:r>
          </w:p>
        </w:tc>
        <w:tc>
          <w:tcPr>
            <w:tcW w:w="2268" w:type="dxa"/>
            <w:vAlign w:val="center"/>
          </w:tcPr>
          <w:p>
            <w:pPr>
              <w:pStyle w:val="5"/>
              <w:spacing w:before="0" w:after="0"/>
              <w:jc w:val="center"/>
              <w:rPr>
                <w:rFonts w:asciiTheme="minorHAnsi" w:hAnsiTheme="minorHAnsi" w:cstheme="minorHAnsi"/>
                <w:sz w:val="21"/>
                <w:szCs w:val="21"/>
              </w:rPr>
            </w:pPr>
            <w:r>
              <w:rPr>
                <w:rFonts w:asciiTheme="minorHAnsi" w:hAnsiTheme="minorHAnsi" w:cstheme="minorHAnsi"/>
                <w:color w:val="000000"/>
                <w:kern w:val="2"/>
                <w:sz w:val="21"/>
                <w:szCs w:val="21"/>
              </w:rPr>
              <w:t>18450-19450英镑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679" w:type="dxa"/>
            <w:vAlign w:val="center"/>
          </w:tcPr>
          <w:p>
            <w:pPr>
              <w:ind w:firstLine="33" w:firstLineChars="16"/>
              <w:jc w:val="center"/>
              <w:rPr>
                <w:rFonts w:hAnsi="宋体"/>
                <w:szCs w:val="21"/>
              </w:rPr>
            </w:pPr>
            <w:r>
              <w:rPr>
                <w:rFonts w:hAnsi="宋体"/>
                <w:szCs w:val="21"/>
              </w:rPr>
              <w:t>法学</w:t>
            </w:r>
            <w:r>
              <w:rPr>
                <w:rFonts w:hint="eastAsia" w:hAnsi="宋体"/>
                <w:szCs w:val="21"/>
              </w:rPr>
              <w:t>类</w:t>
            </w:r>
          </w:p>
          <w:p>
            <w:pPr>
              <w:jc w:val="center"/>
              <w:rPr>
                <w:rFonts w:hint="eastAsia" w:hAnsi="宋体"/>
                <w:szCs w:val="21"/>
              </w:rPr>
            </w:pPr>
            <w:r>
              <w:rPr>
                <w:rFonts w:hint="eastAsia" w:hAnsi="宋体"/>
                <w:szCs w:val="21"/>
              </w:rPr>
              <w:t>（法学、商法、国际海商法、</w:t>
            </w:r>
          </w:p>
          <w:p>
            <w:pPr>
              <w:jc w:val="center"/>
              <w:rPr>
                <w:rFonts w:hint="eastAsia"/>
                <w:szCs w:val="21"/>
              </w:rPr>
            </w:pPr>
            <w:r>
              <w:rPr>
                <w:rFonts w:hint="eastAsia" w:hAnsi="宋体"/>
                <w:szCs w:val="21"/>
              </w:rPr>
              <w:t>国际商法、国际贸易法、知识产权等）</w:t>
            </w:r>
          </w:p>
        </w:tc>
        <w:tc>
          <w:tcPr>
            <w:tcW w:w="1985" w:type="dxa"/>
            <w:vAlign w:val="center"/>
          </w:tcPr>
          <w:p>
            <w:pPr>
              <w:pStyle w:val="5"/>
              <w:spacing w:before="0" w:after="0"/>
              <w:jc w:val="center"/>
              <w:rPr>
                <w:rFonts w:asciiTheme="minorHAnsi" w:hAnsiTheme="minorHAnsi" w:cstheme="minorHAnsi"/>
                <w:sz w:val="21"/>
                <w:szCs w:val="21"/>
              </w:rPr>
            </w:pPr>
            <w:r>
              <w:rPr>
                <w:rFonts w:asciiTheme="minorHAnsi" w:hAnsiTheme="minorHAnsi" w:cstheme="minorHAnsi"/>
                <w:color w:val="000000"/>
                <w:kern w:val="2"/>
                <w:sz w:val="21"/>
                <w:szCs w:val="21"/>
              </w:rPr>
              <w:t>14550英镑</w:t>
            </w:r>
          </w:p>
        </w:tc>
        <w:tc>
          <w:tcPr>
            <w:tcW w:w="2268" w:type="dxa"/>
            <w:vAlign w:val="center"/>
          </w:tcPr>
          <w:p>
            <w:pPr>
              <w:pStyle w:val="5"/>
              <w:spacing w:before="0" w:after="0"/>
              <w:jc w:val="center"/>
              <w:rPr>
                <w:rFonts w:asciiTheme="minorHAnsi" w:hAnsiTheme="minorHAnsi" w:cstheme="minorHAnsi"/>
                <w:sz w:val="21"/>
                <w:szCs w:val="21"/>
              </w:rPr>
            </w:pPr>
            <w:r>
              <w:rPr>
                <w:rFonts w:asciiTheme="minorHAnsi" w:hAnsiTheme="minorHAnsi" w:cstheme="minorHAnsi"/>
                <w:color w:val="000000"/>
                <w:kern w:val="2"/>
                <w:sz w:val="21"/>
                <w:szCs w:val="21"/>
              </w:rPr>
              <w:t>16950英镑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679" w:type="dxa"/>
            <w:vAlign w:val="center"/>
          </w:tcPr>
          <w:p>
            <w:pPr>
              <w:ind w:firstLine="33" w:firstLineChars="16"/>
              <w:jc w:val="center"/>
              <w:rPr>
                <w:rFonts w:hAnsi="宋体"/>
                <w:szCs w:val="21"/>
              </w:rPr>
            </w:pPr>
            <w:r>
              <w:rPr>
                <w:rFonts w:hAnsi="宋体"/>
                <w:szCs w:val="21"/>
              </w:rPr>
              <w:t>工程学</w:t>
            </w:r>
            <w:r>
              <w:rPr>
                <w:rFonts w:hint="eastAsia" w:hAnsi="宋体"/>
                <w:szCs w:val="21"/>
              </w:rPr>
              <w:t>类</w:t>
            </w:r>
          </w:p>
          <w:p>
            <w:pPr>
              <w:jc w:val="center"/>
              <w:rPr>
                <w:rFonts w:hint="eastAsia" w:hAnsi="宋体"/>
                <w:szCs w:val="21"/>
              </w:rPr>
            </w:pPr>
            <w:r>
              <w:rPr>
                <w:rFonts w:hint="eastAsia" w:hAnsi="宋体"/>
                <w:szCs w:val="21"/>
              </w:rPr>
              <w:t>（土木、材料、机械、化学、航天、</w:t>
            </w:r>
          </w:p>
          <w:p>
            <w:pPr>
              <w:jc w:val="center"/>
              <w:rPr>
                <w:rFonts w:hAnsi="宋体"/>
                <w:szCs w:val="21"/>
              </w:rPr>
            </w:pPr>
            <w:r>
              <w:rPr>
                <w:rFonts w:hint="eastAsia" w:hAnsi="宋体"/>
                <w:szCs w:val="21"/>
              </w:rPr>
              <w:t>通信、电子电气、纳米、生物医学等）</w:t>
            </w:r>
          </w:p>
        </w:tc>
        <w:tc>
          <w:tcPr>
            <w:tcW w:w="1985" w:type="dxa"/>
            <w:vAlign w:val="center"/>
          </w:tcPr>
          <w:p>
            <w:pPr>
              <w:pStyle w:val="5"/>
              <w:spacing w:before="0" w:after="0"/>
              <w:jc w:val="center"/>
              <w:rPr>
                <w:rFonts w:asciiTheme="minorHAnsi" w:hAnsiTheme="minorHAnsi" w:cstheme="minorHAnsi"/>
                <w:sz w:val="21"/>
                <w:szCs w:val="21"/>
              </w:rPr>
            </w:pPr>
            <w:r>
              <w:rPr>
                <w:rFonts w:asciiTheme="minorHAnsi" w:hAnsiTheme="minorHAnsi" w:cstheme="minorHAnsi"/>
                <w:color w:val="000000"/>
                <w:kern w:val="2"/>
                <w:sz w:val="21"/>
                <w:szCs w:val="21"/>
              </w:rPr>
              <w:t xml:space="preserve">19600-22650英镑 </w:t>
            </w:r>
          </w:p>
        </w:tc>
        <w:tc>
          <w:tcPr>
            <w:tcW w:w="2268" w:type="dxa"/>
            <w:vAlign w:val="center"/>
          </w:tcPr>
          <w:p>
            <w:pPr>
              <w:pStyle w:val="5"/>
              <w:spacing w:before="0" w:after="0"/>
              <w:jc w:val="center"/>
              <w:rPr>
                <w:rFonts w:asciiTheme="minorHAnsi" w:hAnsiTheme="minorHAnsi" w:cstheme="minorHAnsi"/>
                <w:sz w:val="21"/>
                <w:szCs w:val="21"/>
              </w:rPr>
            </w:pPr>
            <w:r>
              <w:rPr>
                <w:rFonts w:asciiTheme="minorHAnsi" w:hAnsiTheme="minorHAnsi" w:cstheme="minorHAnsi"/>
                <w:color w:val="000000"/>
                <w:kern w:val="2"/>
                <w:sz w:val="21"/>
                <w:szCs w:val="21"/>
              </w:rPr>
              <w:t>19600-20700英镑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679" w:type="dxa"/>
            <w:vAlign w:val="center"/>
          </w:tcPr>
          <w:p>
            <w:pPr>
              <w:jc w:val="center"/>
              <w:rPr>
                <w:rFonts w:hint="eastAsia"/>
              </w:rPr>
            </w:pPr>
            <w:r>
              <w:rPr>
                <w:rFonts w:hint="eastAsia"/>
              </w:rPr>
              <w:t>计算机类</w:t>
            </w:r>
          </w:p>
          <w:p>
            <w:pPr>
              <w:jc w:val="center"/>
              <w:rPr>
                <w:rFonts w:hint="eastAsia"/>
              </w:rPr>
            </w:pPr>
            <w:r>
              <w:rPr>
                <w:rFonts w:hint="eastAsia"/>
              </w:rPr>
              <w:t>（计算机、软件工程、数据科学、</w:t>
            </w:r>
          </w:p>
          <w:p>
            <w:pPr>
              <w:jc w:val="center"/>
              <w:rPr>
                <w:rFonts w:hint="eastAsia"/>
              </w:rPr>
            </w:pPr>
            <w:r>
              <w:rPr>
                <w:rFonts w:hint="eastAsia"/>
              </w:rPr>
              <w:t>网络安全、大数据及人工智能等）</w:t>
            </w:r>
          </w:p>
        </w:tc>
        <w:tc>
          <w:tcPr>
            <w:tcW w:w="1985" w:type="dxa"/>
            <w:vAlign w:val="center"/>
          </w:tcPr>
          <w:p>
            <w:pPr>
              <w:spacing w:line="276" w:lineRule="auto"/>
              <w:jc w:val="center"/>
              <w:rPr>
                <w:rFonts w:cstheme="minorHAnsi"/>
                <w:color w:val="000000"/>
                <w:szCs w:val="21"/>
              </w:rPr>
            </w:pPr>
            <w:r>
              <w:rPr>
                <w:rFonts w:cstheme="minorHAnsi"/>
                <w:color w:val="000000"/>
                <w:szCs w:val="21"/>
              </w:rPr>
              <w:t>17150英镑</w:t>
            </w:r>
          </w:p>
        </w:tc>
        <w:tc>
          <w:tcPr>
            <w:tcW w:w="2268" w:type="dxa"/>
            <w:vAlign w:val="center"/>
          </w:tcPr>
          <w:p>
            <w:pPr>
              <w:pStyle w:val="5"/>
              <w:spacing w:before="0" w:after="0"/>
              <w:jc w:val="center"/>
              <w:rPr>
                <w:rFonts w:asciiTheme="minorHAnsi" w:hAnsiTheme="minorHAnsi" w:cstheme="minorHAnsi"/>
                <w:color w:val="000000"/>
                <w:kern w:val="2"/>
                <w:sz w:val="21"/>
                <w:szCs w:val="21"/>
              </w:rPr>
            </w:pPr>
            <w:r>
              <w:rPr>
                <w:rFonts w:asciiTheme="minorHAnsi" w:hAnsiTheme="minorHAnsi" w:cstheme="minorHAnsi"/>
                <w:color w:val="000000"/>
                <w:kern w:val="2"/>
                <w:sz w:val="21"/>
                <w:szCs w:val="21"/>
              </w:rPr>
              <w:t>18550英镑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679" w:type="dxa"/>
            <w:vAlign w:val="center"/>
          </w:tcPr>
          <w:p>
            <w:pPr>
              <w:jc w:val="center"/>
              <w:rPr>
                <w:rFonts w:hint="eastAsia"/>
              </w:rPr>
            </w:pPr>
            <w:r>
              <w:rPr>
                <w:rFonts w:hint="eastAsia"/>
                <w:szCs w:val="21"/>
                <w:lang w:val="en-GB"/>
              </w:rPr>
              <w:t>数学、应用数学、</w:t>
            </w:r>
            <w:r>
              <w:rPr>
                <w:rFonts w:hint="eastAsia"/>
              </w:rPr>
              <w:t>精算学、</w:t>
            </w:r>
            <w:r>
              <w:rPr>
                <w:rFonts w:hint="eastAsia"/>
                <w:szCs w:val="21"/>
                <w:lang w:val="en-GB"/>
              </w:rPr>
              <w:t>金融数学</w:t>
            </w:r>
          </w:p>
        </w:tc>
        <w:tc>
          <w:tcPr>
            <w:tcW w:w="1985" w:type="dxa"/>
            <w:vAlign w:val="center"/>
          </w:tcPr>
          <w:p>
            <w:pPr>
              <w:spacing w:line="276" w:lineRule="auto"/>
              <w:jc w:val="center"/>
              <w:rPr>
                <w:rFonts w:cstheme="minorHAnsi"/>
                <w:color w:val="000000"/>
                <w:szCs w:val="21"/>
              </w:rPr>
            </w:pPr>
            <w:r>
              <w:rPr>
                <w:rFonts w:cstheme="minorHAnsi"/>
                <w:color w:val="000000"/>
                <w:szCs w:val="21"/>
              </w:rPr>
              <w:t>17000英镑</w:t>
            </w:r>
          </w:p>
        </w:tc>
        <w:tc>
          <w:tcPr>
            <w:tcW w:w="2268" w:type="dxa"/>
            <w:vAlign w:val="center"/>
          </w:tcPr>
          <w:p>
            <w:pPr>
              <w:pStyle w:val="5"/>
              <w:spacing w:before="0" w:after="0"/>
              <w:jc w:val="center"/>
              <w:rPr>
                <w:rFonts w:asciiTheme="minorHAnsi" w:hAnsiTheme="minorHAnsi" w:cstheme="minorHAnsi"/>
                <w:color w:val="000000"/>
                <w:kern w:val="2"/>
                <w:sz w:val="21"/>
                <w:szCs w:val="21"/>
              </w:rPr>
            </w:pPr>
            <w:r>
              <w:rPr>
                <w:rFonts w:asciiTheme="minorHAnsi" w:hAnsiTheme="minorHAnsi" w:cstheme="minorHAnsi"/>
                <w:color w:val="000000"/>
                <w:kern w:val="2"/>
                <w:sz w:val="21"/>
                <w:szCs w:val="21"/>
              </w:rPr>
              <w:t>21800英镑</w:t>
            </w:r>
          </w:p>
        </w:tc>
      </w:tr>
    </w:tbl>
    <w:p>
      <w:pPr>
        <w:spacing w:line="276" w:lineRule="auto"/>
        <w:ind w:left="420"/>
        <w:rPr>
          <w:rFonts w:ascii="Calibri" w:hAnsi="Calibri" w:eastAsia="宋体" w:cs="Times New Roman"/>
          <w:szCs w:val="21"/>
        </w:rPr>
      </w:pPr>
    </w:p>
    <w:p>
      <w:pPr>
        <w:numPr>
          <w:ilvl w:val="0"/>
          <w:numId w:val="4"/>
        </w:numPr>
        <w:spacing w:line="276" w:lineRule="auto"/>
        <w:rPr>
          <w:rFonts w:ascii="Calibri" w:hAnsi="Calibri" w:eastAsia="宋体" w:cs="Times New Roman"/>
          <w:szCs w:val="21"/>
        </w:rPr>
      </w:pPr>
      <w:r>
        <w:rPr>
          <w:rFonts w:hint="eastAsia" w:ascii="Calibri" w:hAnsi="Calibri" w:eastAsia="宋体" w:cs="Times New Roman"/>
          <w:b/>
          <w:szCs w:val="21"/>
        </w:rPr>
        <w:t>奖学金：</w:t>
      </w:r>
    </w:p>
    <w:p>
      <w:pPr>
        <w:pStyle w:val="12"/>
        <w:widowControl/>
        <w:spacing w:line="312" w:lineRule="auto"/>
        <w:ind w:left="420" w:firstLine="0" w:firstLineChars="0"/>
        <w:jc w:val="left"/>
        <w:rPr>
          <w:szCs w:val="21"/>
        </w:rPr>
      </w:pPr>
      <w:r>
        <w:rPr>
          <w:rFonts w:hint="eastAsia"/>
          <w:szCs w:val="21"/>
        </w:rPr>
        <w:t>可申请1000-4000英镑奖学金</w:t>
      </w:r>
    </w:p>
    <w:p>
      <w:pPr>
        <w:spacing w:line="276" w:lineRule="auto"/>
        <w:ind w:left="420"/>
        <w:rPr>
          <w:rFonts w:ascii="Calibri" w:hAnsi="Calibri" w:eastAsia="宋体" w:cs="Times New Roman"/>
          <w:szCs w:val="21"/>
        </w:rPr>
      </w:pPr>
    </w:p>
    <w:p>
      <w:pPr>
        <w:numPr>
          <w:ilvl w:val="0"/>
          <w:numId w:val="4"/>
        </w:numPr>
        <w:spacing w:line="276" w:lineRule="auto"/>
        <w:rPr>
          <w:rFonts w:ascii="Calibri" w:hAnsi="Calibri" w:eastAsia="宋体" w:cs="Times New Roman"/>
          <w:b/>
          <w:szCs w:val="21"/>
        </w:rPr>
      </w:pPr>
      <w:r>
        <w:rPr>
          <w:rFonts w:hint="eastAsia" w:ascii="Calibri" w:hAnsi="Calibri" w:eastAsia="宋体" w:cs="Times New Roman"/>
          <w:b/>
          <w:szCs w:val="21"/>
        </w:rPr>
        <w:t>生活费</w:t>
      </w:r>
    </w:p>
    <w:p>
      <w:pPr>
        <w:spacing w:line="276" w:lineRule="auto"/>
        <w:rPr>
          <w:rFonts w:ascii="Calibri" w:hAnsi="Calibri" w:eastAsia="宋体" w:cs="Times New Roman"/>
          <w:szCs w:val="21"/>
        </w:rPr>
      </w:pPr>
      <w:r>
        <w:rPr>
          <w:rFonts w:hint="eastAsia" w:ascii="Calibri" w:hAnsi="Calibri" w:eastAsia="宋体" w:cs="Times New Roman"/>
          <w:szCs w:val="21"/>
        </w:rPr>
        <w:t>斯旺西地区物价低，物超所值，住宿、休闲、食物等日常消费比英国其他地方低</w:t>
      </w:r>
    </w:p>
    <w:p>
      <w:pPr>
        <w:spacing w:line="276" w:lineRule="auto"/>
        <w:rPr>
          <w:szCs w:val="21"/>
        </w:rPr>
      </w:pPr>
      <w:r>
        <w:rPr>
          <w:szCs w:val="21"/>
        </w:rPr>
        <w:t>住宿费：</w:t>
      </w:r>
      <w:r>
        <w:rPr>
          <w:rFonts w:hint="eastAsia"/>
          <w:szCs w:val="21"/>
        </w:rPr>
        <w:t>91</w:t>
      </w:r>
      <w:r>
        <w:rPr>
          <w:szCs w:val="21"/>
        </w:rPr>
        <w:t>-1</w:t>
      </w:r>
      <w:r>
        <w:rPr>
          <w:rFonts w:hint="eastAsia"/>
          <w:szCs w:val="21"/>
        </w:rPr>
        <w:t>4</w:t>
      </w:r>
      <w:r>
        <w:rPr>
          <w:szCs w:val="21"/>
        </w:rPr>
        <w:t>0英镑/</w:t>
      </w:r>
      <w:r>
        <w:rPr>
          <w:rFonts w:hAnsi="宋体"/>
          <w:szCs w:val="21"/>
        </w:rPr>
        <w:t>周</w:t>
      </w:r>
      <w:r>
        <w:rPr>
          <w:rFonts w:hint="eastAsia" w:hAnsi="宋体"/>
          <w:szCs w:val="21"/>
        </w:rPr>
        <w:t xml:space="preserve"> （根据住宿种类的不同而有所差别）</w:t>
      </w:r>
    </w:p>
    <w:p>
      <w:pPr>
        <w:spacing w:line="276" w:lineRule="auto"/>
        <w:rPr>
          <w:rFonts w:hAnsi="宋体"/>
          <w:szCs w:val="21"/>
        </w:rPr>
      </w:pPr>
      <w:r>
        <w:rPr>
          <w:rFonts w:hAnsi="宋体"/>
          <w:szCs w:val="21"/>
        </w:rPr>
        <w:t>生活费（含吃</w:t>
      </w:r>
      <w:r>
        <w:rPr>
          <w:rFonts w:hint="eastAsia" w:hAnsi="宋体"/>
          <w:szCs w:val="21"/>
        </w:rPr>
        <w:t>、</w:t>
      </w:r>
      <w:r>
        <w:rPr>
          <w:rFonts w:hAnsi="宋体"/>
          <w:szCs w:val="21"/>
        </w:rPr>
        <w:t>住</w:t>
      </w:r>
      <w:r>
        <w:rPr>
          <w:rFonts w:hint="eastAsia" w:hAnsi="宋体"/>
          <w:szCs w:val="21"/>
        </w:rPr>
        <w:t>、</w:t>
      </w:r>
      <w:r>
        <w:rPr>
          <w:rFonts w:hAnsi="宋体"/>
          <w:szCs w:val="21"/>
        </w:rPr>
        <w:t>行）：</w:t>
      </w:r>
      <w:r>
        <w:rPr>
          <w:rFonts w:hint="eastAsia" w:hAnsi="宋体"/>
          <w:szCs w:val="21"/>
        </w:rPr>
        <w:t>一般</w:t>
      </w:r>
      <w:r>
        <w:rPr>
          <w:rFonts w:hAnsi="宋体"/>
          <w:szCs w:val="21"/>
        </w:rPr>
        <w:t>约</w:t>
      </w:r>
      <w:r>
        <w:rPr>
          <w:rFonts w:hint="eastAsia"/>
          <w:szCs w:val="21"/>
        </w:rPr>
        <w:t>7</w:t>
      </w:r>
      <w:r>
        <w:rPr>
          <w:szCs w:val="21"/>
        </w:rPr>
        <w:t>000</w:t>
      </w:r>
      <w:r>
        <w:rPr>
          <w:rFonts w:hAnsi="宋体"/>
          <w:szCs w:val="21"/>
        </w:rPr>
        <w:t>英镑</w:t>
      </w:r>
      <w:r>
        <w:rPr>
          <w:szCs w:val="21"/>
        </w:rPr>
        <w:t>/</w:t>
      </w:r>
      <w:r>
        <w:rPr>
          <w:rFonts w:hAnsi="宋体"/>
          <w:szCs w:val="21"/>
        </w:rPr>
        <w:t>年</w:t>
      </w:r>
    </w:p>
    <w:p>
      <w:pPr>
        <w:spacing w:line="276" w:lineRule="auto"/>
        <w:rPr>
          <w:rFonts w:ascii="Calibri" w:hAnsi="宋体" w:eastAsia="宋体" w:cs="Times New Roman"/>
          <w:szCs w:val="21"/>
        </w:rPr>
      </w:pPr>
    </w:p>
    <w:p>
      <w:pPr>
        <w:spacing w:line="276" w:lineRule="auto"/>
        <w:rPr>
          <w:rFonts w:ascii="Calibri" w:hAnsi="宋体" w:eastAsia="宋体" w:cs="Times New Roman"/>
          <w:szCs w:val="21"/>
        </w:rPr>
      </w:pPr>
      <w:r>
        <w:rPr>
          <w:rFonts w:hint="eastAsia" w:ascii="Calibri" w:hAnsi="宋体" w:eastAsia="宋体" w:cs="Times New Roman"/>
          <w:b/>
          <w:szCs w:val="21"/>
        </w:rPr>
        <w:t>总花费</w:t>
      </w:r>
      <w:r>
        <w:rPr>
          <w:rFonts w:hint="eastAsia" w:ascii="Calibri" w:hAnsi="宋体" w:eastAsia="宋体" w:cs="Times New Roman"/>
          <w:szCs w:val="21"/>
        </w:rPr>
        <w:t>（扣除奖学金后）：约为人民币20万元</w:t>
      </w:r>
      <w:r>
        <w:rPr>
          <w:rFonts w:ascii="Calibri" w:hAnsi="Calibri" w:eastAsia="宋体" w:cs="Times New Roman"/>
          <w:szCs w:val="21"/>
        </w:rPr>
        <w:t>/</w:t>
      </w:r>
      <w:r>
        <w:rPr>
          <w:rFonts w:ascii="Calibri" w:hAnsi="宋体" w:eastAsia="宋体" w:cs="Times New Roman"/>
          <w:szCs w:val="21"/>
        </w:rPr>
        <w:t>年</w:t>
      </w:r>
    </w:p>
    <w:p>
      <w:pPr>
        <w:jc w:val="left"/>
        <w:rPr>
          <w:rFonts w:cs="宋体"/>
          <w:kern w:val="0"/>
          <w:szCs w:val="21"/>
        </w:rPr>
      </w:pPr>
    </w:p>
    <w:p>
      <w:pPr>
        <w:jc w:val="left"/>
        <w:rPr>
          <w:rFonts w:cs="宋体"/>
          <w:kern w:val="0"/>
          <w:szCs w:val="21"/>
        </w:rPr>
      </w:pPr>
    </w:p>
    <w:p>
      <w:pPr>
        <w:widowControl/>
        <w:jc w:val="left"/>
        <w:rPr>
          <w:rFonts w:cs="宋体"/>
          <w:b/>
          <w:kern w:val="0"/>
          <w:sz w:val="28"/>
          <w:szCs w:val="28"/>
        </w:rPr>
      </w:pPr>
      <w:r>
        <w:rPr>
          <w:rFonts w:hint="eastAsia" w:cs="宋体"/>
          <w:b/>
          <w:kern w:val="0"/>
          <w:sz w:val="28"/>
          <w:szCs w:val="28"/>
        </w:rPr>
        <w:t>四.  申请材料：</w:t>
      </w:r>
    </w:p>
    <w:p>
      <w:pPr>
        <w:pStyle w:val="12"/>
        <w:numPr>
          <w:ilvl w:val="0"/>
          <w:numId w:val="5"/>
        </w:numPr>
        <w:ind w:firstLineChars="0"/>
      </w:pPr>
      <w:r>
        <w:rPr>
          <w:rFonts w:hint="eastAsia"/>
        </w:rPr>
        <w:t>项目申请表</w:t>
      </w:r>
    </w:p>
    <w:p>
      <w:pPr>
        <w:pStyle w:val="12"/>
        <w:numPr>
          <w:ilvl w:val="0"/>
          <w:numId w:val="5"/>
        </w:numPr>
        <w:ind w:firstLineChars="0"/>
      </w:pPr>
      <w:r>
        <w:t xml:space="preserve">大学成绩单 (中英文) </w:t>
      </w:r>
    </w:p>
    <w:p>
      <w:pPr>
        <w:pStyle w:val="12"/>
        <w:numPr>
          <w:ilvl w:val="0"/>
          <w:numId w:val="5"/>
        </w:numPr>
        <w:ind w:firstLineChars="0"/>
      </w:pPr>
      <w:r>
        <w:t>学习证明</w:t>
      </w:r>
      <w:r>
        <w:rPr>
          <w:rFonts w:hint="eastAsia"/>
        </w:rPr>
        <w:t xml:space="preserve"> (</w:t>
      </w:r>
      <w:r>
        <w:t>在读证明或毕业证</w:t>
      </w:r>
      <w:r>
        <w:rPr>
          <w:rFonts w:hint="eastAsia"/>
        </w:rPr>
        <w:t>、</w:t>
      </w:r>
      <w:r>
        <w:t>学位证</w:t>
      </w:r>
      <w:r>
        <w:rPr>
          <w:rFonts w:hint="eastAsia"/>
        </w:rPr>
        <w:t xml:space="preserve">) </w:t>
      </w:r>
      <w:r>
        <w:t>(中英文)</w:t>
      </w:r>
    </w:p>
    <w:p>
      <w:pPr>
        <w:pStyle w:val="12"/>
        <w:numPr>
          <w:ilvl w:val="0"/>
          <w:numId w:val="5"/>
        </w:numPr>
        <w:ind w:firstLineChars="0"/>
      </w:pPr>
      <w:r>
        <w:t>个人陈述</w:t>
      </w:r>
      <w:r>
        <w:rPr>
          <w:rFonts w:hint="eastAsia"/>
        </w:rPr>
        <w:t xml:space="preserve"> (英文)</w:t>
      </w:r>
    </w:p>
    <w:p>
      <w:pPr>
        <w:pStyle w:val="12"/>
        <w:numPr>
          <w:ilvl w:val="0"/>
          <w:numId w:val="5"/>
        </w:numPr>
        <w:ind w:firstLineChars="0"/>
      </w:pPr>
      <w:r>
        <w:t>推荐信</w:t>
      </w:r>
      <w:r>
        <w:rPr>
          <w:rFonts w:hint="eastAsia"/>
        </w:rPr>
        <w:t xml:space="preserve"> (申请本科项目准备一封，申请硕士项目准备两封) (英文)</w:t>
      </w:r>
    </w:p>
    <w:p>
      <w:pPr>
        <w:pStyle w:val="12"/>
        <w:numPr>
          <w:ilvl w:val="0"/>
          <w:numId w:val="5"/>
        </w:numPr>
        <w:ind w:firstLineChars="0"/>
      </w:pPr>
      <w:r>
        <w:rPr>
          <w:rFonts w:hint="eastAsia"/>
        </w:rPr>
        <w:t>英语</w:t>
      </w:r>
      <w:r>
        <w:t>成绩单</w:t>
      </w:r>
      <w:r>
        <w:rPr>
          <w:rFonts w:hint="eastAsia"/>
        </w:rPr>
        <w:t xml:space="preserve">(雅思、托福、大学内测、PTE等) </w:t>
      </w:r>
      <w:r>
        <w:t>(没有可以先不提交</w:t>
      </w:r>
      <w:r>
        <w:rPr>
          <w:rFonts w:hint="eastAsia"/>
        </w:rPr>
        <w:t>，待考出后补交</w:t>
      </w:r>
      <w:r>
        <w:t>)</w:t>
      </w:r>
    </w:p>
    <w:p>
      <w:pPr>
        <w:pStyle w:val="12"/>
        <w:numPr>
          <w:ilvl w:val="0"/>
          <w:numId w:val="5"/>
        </w:numPr>
        <w:ind w:firstLineChars="0"/>
        <w:rPr>
          <w:szCs w:val="21"/>
        </w:rPr>
      </w:pPr>
      <w:r>
        <w:t>护照首页</w:t>
      </w:r>
      <w:r>
        <w:rPr>
          <w:rFonts w:hint="eastAsia"/>
        </w:rPr>
        <w:t xml:space="preserve"> (</w:t>
      </w:r>
      <w:r>
        <w:t>没有可以先不提交，</w:t>
      </w:r>
      <w:r>
        <w:rPr>
          <w:rFonts w:hint="eastAsia"/>
        </w:rPr>
        <w:t>待</w:t>
      </w:r>
      <w:r>
        <w:t>办理</w:t>
      </w:r>
      <w:r>
        <w:rPr>
          <w:rFonts w:hint="eastAsia"/>
        </w:rPr>
        <w:t>后补</w:t>
      </w:r>
      <w:r>
        <w:rPr>
          <w:rFonts w:hint="eastAsia" w:cs="宋体"/>
          <w:kern w:val="0"/>
          <w:szCs w:val="21"/>
        </w:rPr>
        <w:t>交)</w:t>
      </w:r>
    </w:p>
    <w:p>
      <w:pPr>
        <w:pStyle w:val="12"/>
        <w:ind w:left="420" w:firstLine="0" w:firstLineChars="0"/>
        <w:rPr>
          <w:szCs w:val="21"/>
        </w:rPr>
      </w:pPr>
    </w:p>
    <w:p>
      <w:pPr>
        <w:pStyle w:val="12"/>
        <w:ind w:left="420" w:firstLine="0" w:firstLineChars="0"/>
        <w:rPr>
          <w:szCs w:val="21"/>
        </w:rPr>
      </w:pPr>
    </w:p>
    <w:p>
      <w:pPr>
        <w:jc w:val="left"/>
        <w:rPr>
          <w:b/>
          <w:sz w:val="28"/>
          <w:szCs w:val="28"/>
        </w:rPr>
      </w:pPr>
      <w:r>
        <w:rPr>
          <w:rFonts w:hint="eastAsia" w:cs="宋体"/>
          <w:b/>
          <w:kern w:val="0"/>
          <w:sz w:val="28"/>
          <w:szCs w:val="28"/>
        </w:rPr>
        <w:t xml:space="preserve">五.  </w:t>
      </w:r>
      <w:r>
        <w:rPr>
          <w:rFonts w:hint="eastAsia"/>
          <w:b/>
          <w:sz w:val="28"/>
          <w:szCs w:val="28"/>
        </w:rPr>
        <w:t>报名及申请时间</w:t>
      </w:r>
    </w:p>
    <w:p>
      <w:pPr>
        <w:ind w:firstLine="482" w:firstLineChars="200"/>
        <w:jc w:val="left"/>
        <w:rPr>
          <w:rFonts w:hint="eastAsia"/>
          <w:b/>
          <w:sz w:val="24"/>
          <w:szCs w:val="24"/>
        </w:rPr>
      </w:pPr>
      <w:r>
        <w:rPr>
          <w:rFonts w:hint="eastAsia"/>
          <w:b/>
          <w:sz w:val="24"/>
          <w:szCs w:val="24"/>
        </w:rPr>
        <w:t>1、本科或硕士学位项目</w:t>
      </w:r>
    </w:p>
    <w:p>
      <w:pPr>
        <w:ind w:firstLine="420" w:firstLineChars="200"/>
        <w:jc w:val="left"/>
      </w:pPr>
      <w:r>
        <w:t>目前没有设置最晚申请截止日期，学生预留足够签证时间即可。</w:t>
      </w:r>
    </w:p>
    <w:p>
      <w:pPr>
        <w:ind w:firstLine="420" w:firstLineChars="200"/>
        <w:jc w:val="left"/>
        <w:rPr>
          <w:rFonts w:hint="eastAsia"/>
        </w:rPr>
      </w:pPr>
      <w:r>
        <w:rPr>
          <w:rFonts w:hint="eastAsia"/>
        </w:rPr>
        <w:t>我们建议学生尽量在</w:t>
      </w:r>
      <w:r>
        <w:rPr>
          <w:rFonts w:hint="eastAsia"/>
          <w:b/>
        </w:rPr>
        <w:t>4月底之前</w:t>
      </w:r>
      <w:r>
        <w:rPr>
          <w:rFonts w:hint="eastAsia"/>
        </w:rPr>
        <w:t>递交申请材料（英语成绩可以后补），越早申请越早获得offer，也可以给后续的住宿申请、语言课程申请、签证办理等留出足够的时间。</w:t>
      </w:r>
    </w:p>
    <w:p>
      <w:pPr>
        <w:ind w:firstLine="420" w:firstLineChars="200"/>
        <w:jc w:val="left"/>
        <w:rPr>
          <w:rFonts w:hint="eastAsia"/>
        </w:rPr>
      </w:pPr>
    </w:p>
    <w:p>
      <w:pPr>
        <w:ind w:firstLine="482" w:firstLineChars="200"/>
        <w:jc w:val="left"/>
        <w:rPr>
          <w:rFonts w:hint="eastAsia"/>
          <w:b/>
          <w:sz w:val="24"/>
          <w:szCs w:val="24"/>
        </w:rPr>
      </w:pPr>
      <w:r>
        <w:rPr>
          <w:rFonts w:hint="eastAsia"/>
          <w:b/>
          <w:sz w:val="24"/>
          <w:szCs w:val="24"/>
        </w:rPr>
        <w:t>2、交流一学期或一学年项目</w:t>
      </w:r>
    </w:p>
    <w:p>
      <w:pPr>
        <w:pStyle w:val="12"/>
        <w:numPr>
          <w:ilvl w:val="0"/>
          <w:numId w:val="6"/>
        </w:numPr>
        <w:ind w:firstLine="6" w:firstLineChars="0"/>
        <w:rPr>
          <w:rFonts w:cstheme="minorHAnsi"/>
          <w:szCs w:val="21"/>
        </w:rPr>
      </w:pPr>
      <w:r>
        <w:rPr>
          <w:rFonts w:cstheme="minorHAnsi"/>
          <w:szCs w:val="21"/>
        </w:rPr>
        <w:t xml:space="preserve">春季学期January 2022 start: </w:t>
      </w:r>
    </w:p>
    <w:p>
      <w:pPr>
        <w:pStyle w:val="12"/>
        <w:ind w:left="420" w:firstLine="6" w:firstLineChars="0"/>
        <w:rPr>
          <w:rFonts w:cstheme="minorHAnsi"/>
          <w:color w:val="002060"/>
          <w:szCs w:val="21"/>
        </w:rPr>
      </w:pPr>
      <w:r>
        <w:rPr>
          <w:rFonts w:cstheme="minorHAnsi"/>
          <w:szCs w:val="21"/>
        </w:rPr>
        <w:t>报名截止</w:t>
      </w:r>
      <w:r>
        <w:rPr>
          <w:rFonts w:hAnsi="Calibri" w:cstheme="minorHAnsi"/>
          <w:color w:val="002060"/>
          <w:szCs w:val="21"/>
        </w:rPr>
        <w:t>日期</w:t>
      </w:r>
      <w:r>
        <w:rPr>
          <w:rFonts w:cstheme="minorHAnsi"/>
          <w:szCs w:val="21"/>
        </w:rPr>
        <w:t>：</w:t>
      </w:r>
      <w:r>
        <w:rPr>
          <w:rFonts w:cstheme="minorHAnsi"/>
          <w:color w:val="002060"/>
          <w:szCs w:val="21"/>
        </w:rPr>
        <w:t>2021</w:t>
      </w:r>
      <w:r>
        <w:rPr>
          <w:rFonts w:hAnsi="Calibri" w:cstheme="minorHAnsi"/>
          <w:color w:val="002060"/>
          <w:szCs w:val="21"/>
        </w:rPr>
        <w:t>年</w:t>
      </w:r>
      <w:r>
        <w:rPr>
          <w:rFonts w:cstheme="minorHAnsi"/>
          <w:color w:val="002060"/>
          <w:szCs w:val="21"/>
        </w:rPr>
        <w:t>10</w:t>
      </w:r>
      <w:r>
        <w:rPr>
          <w:rFonts w:hAnsi="Calibri" w:cstheme="minorHAnsi"/>
          <w:color w:val="002060"/>
          <w:szCs w:val="21"/>
        </w:rPr>
        <w:t>月</w:t>
      </w:r>
      <w:r>
        <w:rPr>
          <w:rFonts w:cstheme="minorHAnsi"/>
          <w:color w:val="002060"/>
          <w:szCs w:val="21"/>
        </w:rPr>
        <w:t>22</w:t>
      </w:r>
      <w:r>
        <w:rPr>
          <w:rFonts w:hAnsi="Calibri" w:cstheme="minorHAnsi"/>
          <w:color w:val="002060"/>
          <w:szCs w:val="21"/>
        </w:rPr>
        <w:t>日</w:t>
      </w:r>
    </w:p>
    <w:p>
      <w:pPr>
        <w:pStyle w:val="12"/>
        <w:ind w:left="420" w:firstLine="6" w:firstLineChars="0"/>
        <w:rPr>
          <w:rFonts w:hint="eastAsia" w:cstheme="minorHAnsi"/>
          <w:szCs w:val="21"/>
        </w:rPr>
      </w:pPr>
      <w:r>
        <w:rPr>
          <w:rFonts w:hAnsi="Calibri" w:cstheme="minorHAnsi"/>
          <w:color w:val="002060"/>
          <w:szCs w:val="21"/>
        </w:rPr>
        <w:t>递交申请截止日期：</w:t>
      </w:r>
      <w:r>
        <w:rPr>
          <w:rFonts w:cstheme="minorHAnsi"/>
          <w:szCs w:val="21"/>
        </w:rPr>
        <w:t>2021年11月5日</w:t>
      </w:r>
    </w:p>
    <w:p>
      <w:pPr>
        <w:pStyle w:val="12"/>
        <w:ind w:left="420" w:firstLine="6" w:firstLineChars="0"/>
        <w:rPr>
          <w:rFonts w:cstheme="minorHAnsi"/>
          <w:szCs w:val="21"/>
        </w:rPr>
      </w:pPr>
    </w:p>
    <w:p>
      <w:pPr>
        <w:pStyle w:val="12"/>
        <w:numPr>
          <w:ilvl w:val="0"/>
          <w:numId w:val="6"/>
        </w:numPr>
        <w:ind w:firstLine="6" w:firstLineChars="0"/>
        <w:rPr>
          <w:rFonts w:cstheme="minorHAnsi"/>
          <w:szCs w:val="21"/>
        </w:rPr>
      </w:pPr>
      <w:r>
        <w:rPr>
          <w:rFonts w:cstheme="minorHAnsi"/>
          <w:szCs w:val="21"/>
        </w:rPr>
        <w:t>秋季学期September 202</w:t>
      </w:r>
      <w:r>
        <w:rPr>
          <w:rFonts w:hint="eastAsia" w:cstheme="minorHAnsi"/>
          <w:szCs w:val="21"/>
        </w:rPr>
        <w:t>2</w:t>
      </w:r>
      <w:r>
        <w:rPr>
          <w:rFonts w:cstheme="minorHAnsi"/>
          <w:szCs w:val="21"/>
        </w:rPr>
        <w:t xml:space="preserve"> start :</w:t>
      </w:r>
    </w:p>
    <w:p>
      <w:pPr>
        <w:pStyle w:val="12"/>
        <w:ind w:left="420" w:firstLine="6" w:firstLineChars="0"/>
        <w:rPr>
          <w:rFonts w:cstheme="minorHAnsi"/>
          <w:color w:val="002060"/>
          <w:szCs w:val="21"/>
        </w:rPr>
      </w:pPr>
      <w:r>
        <w:rPr>
          <w:rFonts w:cstheme="minorHAnsi"/>
          <w:szCs w:val="21"/>
        </w:rPr>
        <w:t>报名截止</w:t>
      </w:r>
      <w:r>
        <w:rPr>
          <w:rFonts w:hAnsi="Calibri" w:cstheme="minorHAnsi"/>
          <w:color w:val="002060"/>
          <w:szCs w:val="21"/>
        </w:rPr>
        <w:t>日期</w:t>
      </w:r>
      <w:r>
        <w:rPr>
          <w:rFonts w:cstheme="minorHAnsi"/>
          <w:szCs w:val="21"/>
        </w:rPr>
        <w:t>：</w:t>
      </w:r>
      <w:r>
        <w:rPr>
          <w:rFonts w:cstheme="minorHAnsi"/>
          <w:color w:val="002060"/>
          <w:szCs w:val="21"/>
        </w:rPr>
        <w:t>202</w:t>
      </w:r>
      <w:r>
        <w:rPr>
          <w:rFonts w:hint="eastAsia" w:cstheme="minorHAnsi"/>
          <w:color w:val="002060"/>
          <w:szCs w:val="21"/>
        </w:rPr>
        <w:t>2</w:t>
      </w:r>
      <w:r>
        <w:rPr>
          <w:rFonts w:hAnsi="Calibri" w:cstheme="minorHAnsi"/>
          <w:color w:val="002060"/>
          <w:szCs w:val="21"/>
        </w:rPr>
        <w:t>年</w:t>
      </w:r>
      <w:r>
        <w:rPr>
          <w:rFonts w:cstheme="minorHAnsi"/>
          <w:color w:val="002060"/>
          <w:szCs w:val="21"/>
        </w:rPr>
        <w:t>4</w:t>
      </w:r>
      <w:r>
        <w:rPr>
          <w:rFonts w:hAnsi="Calibri" w:cstheme="minorHAnsi"/>
          <w:color w:val="002060"/>
          <w:szCs w:val="21"/>
        </w:rPr>
        <w:t>月</w:t>
      </w:r>
      <w:r>
        <w:rPr>
          <w:rFonts w:hint="eastAsia" w:cstheme="minorHAnsi"/>
          <w:color w:val="002060"/>
          <w:szCs w:val="21"/>
        </w:rPr>
        <w:t>29</w:t>
      </w:r>
      <w:r>
        <w:rPr>
          <w:rFonts w:hAnsi="Calibri" w:cstheme="minorHAnsi"/>
          <w:color w:val="002060"/>
          <w:szCs w:val="21"/>
        </w:rPr>
        <w:t>日</w:t>
      </w:r>
    </w:p>
    <w:p>
      <w:pPr>
        <w:pStyle w:val="12"/>
        <w:ind w:left="420" w:firstLine="6" w:firstLineChars="0"/>
        <w:rPr>
          <w:rFonts w:cstheme="minorHAnsi"/>
          <w:szCs w:val="21"/>
        </w:rPr>
      </w:pPr>
      <w:r>
        <w:rPr>
          <w:rFonts w:hAnsi="Calibri" w:cstheme="minorHAnsi"/>
          <w:color w:val="002060"/>
          <w:szCs w:val="21"/>
        </w:rPr>
        <w:t>递交申请截止日期：</w:t>
      </w:r>
      <w:r>
        <w:rPr>
          <w:rFonts w:cstheme="minorHAnsi"/>
          <w:szCs w:val="21"/>
        </w:rPr>
        <w:t>202</w:t>
      </w:r>
      <w:r>
        <w:rPr>
          <w:rFonts w:hint="eastAsia" w:cstheme="minorHAnsi"/>
          <w:szCs w:val="21"/>
        </w:rPr>
        <w:t>2</w:t>
      </w:r>
      <w:r>
        <w:rPr>
          <w:rFonts w:cstheme="minorHAnsi"/>
          <w:szCs w:val="21"/>
        </w:rPr>
        <w:t>年5月14日</w:t>
      </w:r>
    </w:p>
    <w:p>
      <w:pPr>
        <w:ind w:firstLine="420" w:firstLineChars="200"/>
        <w:jc w:val="left"/>
        <w:rPr>
          <w:rFonts w:hint="eastAsia"/>
        </w:rPr>
      </w:pPr>
    </w:p>
    <w:p>
      <w:pPr>
        <w:ind w:firstLine="420" w:firstLineChars="200"/>
        <w:jc w:val="left"/>
      </w:pPr>
    </w:p>
    <w:p>
      <w:pPr>
        <w:spacing w:line="276" w:lineRule="auto"/>
        <w:ind w:left="-496" w:leftChars="-236" w:firstLine="565" w:firstLineChars="201"/>
        <w:rPr>
          <w:rFonts w:ascii="Calibri" w:hAnsi="Calibri" w:eastAsia="宋体" w:cs="Times New Roman"/>
          <w:b/>
          <w:sz w:val="28"/>
          <w:szCs w:val="28"/>
        </w:rPr>
      </w:pPr>
      <w:r>
        <w:rPr>
          <w:rFonts w:hint="eastAsia" w:ascii="Calibri" w:hAnsi="Calibri" w:eastAsia="宋体" w:cs="Times New Roman"/>
          <w:b/>
          <w:sz w:val="28"/>
          <w:szCs w:val="28"/>
        </w:rPr>
        <w:t>六. 英语内测考试（SWELT）</w:t>
      </w:r>
    </w:p>
    <w:p>
      <w:r>
        <w:rPr>
          <w:rFonts w:hint="eastAsia"/>
        </w:rPr>
        <w:t xml:space="preserve">   斯旺西大学有自己的英语语言内测（SWELT），</w:t>
      </w:r>
      <w:r>
        <w:t>该内测可替代雅思，如果内测成绩达到了直入本科或硕士的要求后，就不需要提供雅思成绩了</w:t>
      </w:r>
      <w:r>
        <w:rPr>
          <w:rFonts w:hint="eastAsia"/>
        </w:rPr>
        <w:t>，</w:t>
      </w:r>
      <w:r>
        <w:t>且内测成绩可以代替雅思</w:t>
      </w:r>
      <w:r>
        <w:rPr>
          <w:rFonts w:hint="eastAsia"/>
        </w:rPr>
        <w:t>办理</w:t>
      </w:r>
      <w:r>
        <w:t>签证使用。内测成绩也可以用于申请语言课程</w:t>
      </w:r>
      <w:r>
        <w:rPr>
          <w:rFonts w:hint="eastAsia"/>
        </w:rPr>
        <w:t>。</w:t>
      </w:r>
    </w:p>
    <w:p/>
    <w:p>
      <w:pPr>
        <w:ind w:left="283" w:leftChars="135"/>
        <w:rPr>
          <w:b/>
        </w:rPr>
      </w:pPr>
      <w:r>
        <w:rPr>
          <w:b/>
        </w:rPr>
        <w:t>内测考试题型如下：</w:t>
      </w:r>
    </w:p>
    <w:p>
      <w:pPr>
        <w:ind w:left="283" w:leftChars="135"/>
      </w:pPr>
      <w:r>
        <w:t>·</w:t>
      </w:r>
      <w:r>
        <w:rPr>
          <w:rFonts w:hint="eastAsia"/>
        </w:rPr>
        <w:t xml:space="preserve"> </w:t>
      </w:r>
      <w:r>
        <w:t>阅读：1小时</w:t>
      </w:r>
    </w:p>
    <w:p>
      <w:pPr>
        <w:ind w:left="283" w:leftChars="135"/>
      </w:pPr>
      <w:r>
        <w:t>·</w:t>
      </w:r>
      <w:r>
        <w:rPr>
          <w:rFonts w:hint="eastAsia"/>
        </w:rPr>
        <w:t xml:space="preserve"> </w:t>
      </w:r>
      <w:r>
        <w:t>写作：1小时</w:t>
      </w:r>
    </w:p>
    <w:p>
      <w:pPr>
        <w:ind w:left="283" w:leftChars="135"/>
      </w:pPr>
      <w:r>
        <w:t>·</w:t>
      </w:r>
      <w:r>
        <w:rPr>
          <w:rFonts w:hint="eastAsia"/>
        </w:rPr>
        <w:t xml:space="preserve"> </w:t>
      </w:r>
      <w:r>
        <w:t>听力：</w:t>
      </w:r>
      <w:r>
        <w:rPr>
          <w:rFonts w:hint="eastAsia"/>
        </w:rPr>
        <w:t>45</w:t>
      </w:r>
      <w:r>
        <w:t>分钟</w:t>
      </w:r>
    </w:p>
    <w:p>
      <w:pPr>
        <w:ind w:left="283" w:leftChars="135"/>
      </w:pPr>
      <w:r>
        <w:t>·</w:t>
      </w:r>
      <w:r>
        <w:rPr>
          <w:rFonts w:hint="eastAsia"/>
        </w:rPr>
        <w:t xml:space="preserve"> </w:t>
      </w:r>
      <w:r>
        <w:t>口语：</w:t>
      </w:r>
      <w:r>
        <w:rPr>
          <w:rFonts w:hint="eastAsia"/>
        </w:rPr>
        <w:t xml:space="preserve"> 10-</w:t>
      </w:r>
      <w:r>
        <w:t>15分钟</w:t>
      </w:r>
    </w:p>
    <w:p>
      <w:pPr>
        <w:ind w:left="283" w:leftChars="135"/>
      </w:pPr>
      <w:r>
        <w:t>以上考试的评分标准均以雅思评分系统为基础，总分以各项平均分为标准评出。</w:t>
      </w:r>
    </w:p>
    <w:p>
      <w:pPr>
        <w:ind w:left="283" w:leftChars="135"/>
      </w:pPr>
    </w:p>
    <w:p>
      <w:pPr>
        <w:ind w:left="141" w:leftChars="67"/>
      </w:pPr>
      <w:r>
        <w:rPr>
          <w:rFonts w:hint="eastAsia"/>
        </w:rPr>
        <w:t>2021年的内测为线上报名和考试。考费100镑，拿到offer的学生首次考试免费。</w:t>
      </w:r>
    </w:p>
    <w:p>
      <w:pPr>
        <w:ind w:left="141" w:leftChars="67" w:right="-340" w:rightChars="-162"/>
      </w:pPr>
      <w:r>
        <w:rPr>
          <w:rFonts w:hint="eastAsia"/>
        </w:rPr>
        <w:t>内测样题请联系斯旺西大学北京代表处索要。</w:t>
      </w:r>
    </w:p>
    <w:p>
      <w:pPr>
        <w:rPr>
          <w:rFonts w:hint="eastAsia"/>
        </w:rPr>
      </w:pPr>
    </w:p>
    <w:p/>
    <w:p>
      <w:pPr>
        <w:spacing w:line="276" w:lineRule="auto"/>
        <w:ind w:left="-496" w:leftChars="-236" w:firstLine="565" w:firstLineChars="201"/>
        <w:rPr>
          <w:rFonts w:ascii="Calibri" w:hAnsi="Calibri" w:eastAsia="宋体" w:cs="Times New Roman"/>
          <w:b/>
          <w:sz w:val="28"/>
          <w:szCs w:val="28"/>
        </w:rPr>
      </w:pPr>
      <w:r>
        <w:rPr>
          <w:rFonts w:hint="eastAsia" w:ascii="Calibri" w:hAnsi="Calibri" w:eastAsia="宋体" w:cs="Times New Roman"/>
          <w:b/>
          <w:sz w:val="28"/>
          <w:szCs w:val="28"/>
        </w:rPr>
        <w:t>七</w:t>
      </w:r>
      <w:r>
        <w:rPr>
          <w:rFonts w:hint="eastAsia"/>
          <w:b/>
          <w:sz w:val="28"/>
          <w:szCs w:val="28"/>
        </w:rPr>
        <w:t xml:space="preserve">. </w:t>
      </w:r>
      <w:r>
        <w:rPr>
          <w:rFonts w:hint="eastAsia" w:ascii="Calibri" w:hAnsi="Calibri" w:eastAsia="宋体" w:cs="Times New Roman"/>
          <w:b/>
          <w:sz w:val="28"/>
          <w:szCs w:val="28"/>
        </w:rPr>
        <w:t>英语语言课程</w:t>
      </w:r>
      <w:r>
        <w:rPr>
          <w:rFonts w:hint="eastAsia" w:ascii="Calibri" w:hAnsi="Calibri" w:eastAsia="宋体" w:cs="宋体"/>
          <w:b/>
          <w:color w:val="2E2E2E"/>
          <w:sz w:val="28"/>
          <w:szCs w:val="28"/>
        </w:rPr>
        <w:t>(Academic Pre-sessional Course)</w:t>
      </w:r>
    </w:p>
    <w:p>
      <w:pPr>
        <w:spacing w:line="276" w:lineRule="auto"/>
        <w:ind w:left="-372" w:leftChars="-177" w:right="-546" w:rightChars="-260" w:firstLine="422" w:firstLineChars="201"/>
        <w:rPr>
          <w:rFonts w:ascii="Calibri" w:hAnsi="Calibri" w:eastAsia="宋体" w:cs="Times New Roman"/>
          <w:szCs w:val="21"/>
        </w:rPr>
      </w:pPr>
      <w:r>
        <w:rPr>
          <w:rFonts w:hint="eastAsia" w:ascii="Calibri" w:hAnsi="Calibri" w:eastAsia="宋体" w:cs="Times New Roman"/>
          <w:szCs w:val="21"/>
        </w:rPr>
        <w:t>如果在正式课程开始之前，学生的英语成绩达不到正课的入学要求，则可以加读语言课程。</w:t>
      </w:r>
    </w:p>
    <w:p>
      <w:pPr>
        <w:spacing w:line="276" w:lineRule="auto"/>
        <w:ind w:left="-372" w:leftChars="-177" w:right="-546" w:rightChars="-260" w:firstLine="422" w:firstLineChars="201"/>
        <w:rPr>
          <w:szCs w:val="21"/>
        </w:rPr>
      </w:pPr>
      <w:r>
        <w:rPr>
          <w:rFonts w:hint="eastAsia" w:ascii="Calibri" w:hAnsi="Calibri" w:eastAsia="宋体" w:cs="Times New Roman"/>
          <w:szCs w:val="21"/>
        </w:rPr>
        <w:t>大学会根据学生现有的英语水平对学生进行专业且有针对性的课程培训，以使得学生达到入读大学正课的语言要求。</w:t>
      </w:r>
      <w:r>
        <w:rPr>
          <w:rFonts w:hint="eastAsia" w:ascii="Calibri" w:hAnsi="Calibri" w:eastAsia="宋体" w:cs="Times New Roman"/>
          <w:b/>
          <w:szCs w:val="21"/>
        </w:rPr>
        <w:t>课程结束后，学生无需考雅思</w:t>
      </w:r>
      <w:r>
        <w:rPr>
          <w:rFonts w:hint="eastAsia" w:ascii="Calibri" w:hAnsi="Calibri" w:eastAsia="宋体" w:cs="Times New Roman"/>
          <w:szCs w:val="21"/>
        </w:rPr>
        <w:t>，只要通过校内的语言测试，即可入读大学的正式课程学习</w:t>
      </w:r>
      <w:r>
        <w:rPr>
          <w:rFonts w:hint="eastAsia"/>
          <w:szCs w:val="21"/>
        </w:rPr>
        <w:t>。具体的课程安排和入学要求等信息如下表：</w:t>
      </w:r>
    </w:p>
    <w:p>
      <w:pPr>
        <w:ind w:left="-372" w:leftChars="-177" w:right="-546" w:rightChars="-260" w:firstLine="363" w:firstLineChars="201"/>
        <w:jc w:val="center"/>
        <w:rPr>
          <w:rFonts w:ascii="Calibri" w:hAnsi="Calibri" w:eastAsia="宋体" w:cs="宋体"/>
          <w:b/>
          <w:color w:val="2E2E2E"/>
          <w:sz w:val="18"/>
          <w:szCs w:val="18"/>
        </w:rPr>
      </w:pPr>
    </w:p>
    <w:tbl>
      <w:tblPr>
        <w:tblStyle w:val="6"/>
        <w:tblW w:w="97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79"/>
        <w:gridCol w:w="2742"/>
        <w:gridCol w:w="1516"/>
        <w:gridCol w:w="42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4" w:hRule="atLeast"/>
          <w:tblCellSpacing w:w="0" w:type="dxa"/>
          <w:jc w:val="center"/>
        </w:trPr>
        <w:tc>
          <w:tcPr>
            <w:tcW w:w="1179" w:type="dxa"/>
            <w:tcBorders>
              <w:top w:val="outset" w:color="auto" w:sz="6" w:space="0"/>
              <w:left w:val="outset" w:color="auto" w:sz="6" w:space="0"/>
              <w:bottom w:val="outset" w:color="auto" w:sz="6" w:space="0"/>
              <w:right w:val="outset" w:color="auto" w:sz="6" w:space="0"/>
            </w:tcBorders>
            <w:vAlign w:val="center"/>
          </w:tcPr>
          <w:p>
            <w:pPr>
              <w:spacing w:line="330" w:lineRule="atLeast"/>
              <w:jc w:val="center"/>
              <w:rPr>
                <w:rFonts w:ascii="Calibri" w:hAnsi="宋体" w:eastAsia="宋体" w:cs="宋体"/>
                <w:b/>
                <w:bCs/>
                <w:color w:val="2E2E2E"/>
                <w:szCs w:val="21"/>
              </w:rPr>
            </w:pPr>
            <w:r>
              <w:rPr>
                <w:rFonts w:hint="eastAsia" w:ascii="Calibri" w:hAnsi="宋体" w:eastAsia="宋体" w:cs="宋体"/>
                <w:b/>
                <w:bCs/>
                <w:color w:val="2E2E2E"/>
                <w:szCs w:val="21"/>
              </w:rPr>
              <w:t>时长</w:t>
            </w:r>
          </w:p>
        </w:tc>
        <w:tc>
          <w:tcPr>
            <w:tcW w:w="2742" w:type="dxa"/>
            <w:tcBorders>
              <w:top w:val="outset" w:color="auto" w:sz="6" w:space="0"/>
              <w:left w:val="outset" w:color="auto" w:sz="6" w:space="0"/>
              <w:bottom w:val="outset" w:color="auto" w:sz="6" w:space="0"/>
              <w:right w:val="outset" w:color="auto" w:sz="6" w:space="0"/>
            </w:tcBorders>
            <w:vAlign w:val="center"/>
          </w:tcPr>
          <w:p>
            <w:pPr>
              <w:spacing w:line="330" w:lineRule="atLeast"/>
              <w:jc w:val="center"/>
              <w:rPr>
                <w:rFonts w:ascii="Calibri" w:hAnsi="Calibri" w:eastAsia="宋体" w:cs="宋体"/>
                <w:color w:val="2E2E2E"/>
                <w:szCs w:val="21"/>
              </w:rPr>
            </w:pPr>
            <w:r>
              <w:rPr>
                <w:rFonts w:ascii="Calibri" w:hAnsi="宋体" w:eastAsia="宋体" w:cs="宋体"/>
                <w:b/>
                <w:bCs/>
                <w:color w:val="2E2E2E"/>
                <w:szCs w:val="21"/>
              </w:rPr>
              <w:t>日期</w:t>
            </w:r>
          </w:p>
        </w:tc>
        <w:tc>
          <w:tcPr>
            <w:tcW w:w="1516" w:type="dxa"/>
            <w:tcBorders>
              <w:top w:val="outset" w:color="auto" w:sz="6" w:space="0"/>
              <w:left w:val="outset" w:color="auto" w:sz="6" w:space="0"/>
              <w:bottom w:val="outset" w:color="auto" w:sz="6" w:space="0"/>
              <w:right w:val="outset" w:color="auto" w:sz="6" w:space="0"/>
            </w:tcBorders>
            <w:vAlign w:val="center"/>
          </w:tcPr>
          <w:p>
            <w:pPr>
              <w:spacing w:line="330" w:lineRule="atLeast"/>
              <w:jc w:val="center"/>
              <w:rPr>
                <w:rFonts w:ascii="Calibri" w:hAnsi="Calibri" w:eastAsia="宋体" w:cs="宋体"/>
                <w:color w:val="2E2E2E"/>
                <w:szCs w:val="21"/>
              </w:rPr>
            </w:pPr>
            <w:r>
              <w:rPr>
                <w:rFonts w:ascii="Calibri" w:hAnsi="宋体" w:eastAsia="宋体" w:cs="宋体"/>
                <w:b/>
                <w:bCs/>
                <w:color w:val="2E2E2E"/>
                <w:szCs w:val="21"/>
              </w:rPr>
              <w:t>课程费用</w:t>
            </w:r>
          </w:p>
        </w:tc>
        <w:tc>
          <w:tcPr>
            <w:tcW w:w="4273" w:type="dxa"/>
            <w:tcBorders>
              <w:top w:val="outset" w:color="auto" w:sz="6" w:space="0"/>
              <w:left w:val="outset" w:color="auto" w:sz="6" w:space="0"/>
              <w:bottom w:val="outset" w:color="auto" w:sz="6" w:space="0"/>
              <w:right w:val="outset" w:color="auto" w:sz="6" w:space="0"/>
            </w:tcBorders>
            <w:vAlign w:val="center"/>
          </w:tcPr>
          <w:p>
            <w:pPr>
              <w:spacing w:line="330" w:lineRule="atLeast"/>
              <w:jc w:val="center"/>
              <w:rPr>
                <w:rFonts w:ascii="Calibri" w:hAnsi="宋体" w:eastAsia="宋体" w:cs="宋体"/>
                <w:b/>
                <w:bCs/>
                <w:color w:val="2E2E2E"/>
                <w:szCs w:val="21"/>
              </w:rPr>
            </w:pPr>
            <w:r>
              <w:rPr>
                <w:rFonts w:hint="eastAsia" w:ascii="Calibri" w:hAnsi="宋体" w:eastAsia="宋体" w:cs="宋体"/>
                <w:b/>
                <w:bCs/>
                <w:color w:val="2E2E2E"/>
                <w:szCs w:val="21"/>
              </w:rPr>
              <w:t>入学要求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79" w:type="dxa"/>
            <w:tcBorders>
              <w:top w:val="outset" w:color="auto" w:sz="6" w:space="0"/>
              <w:left w:val="outset" w:color="auto" w:sz="6" w:space="0"/>
              <w:bottom w:val="outset" w:color="auto" w:sz="6" w:space="0"/>
              <w:right w:val="outset" w:color="auto" w:sz="6" w:space="0"/>
            </w:tcBorders>
            <w:vAlign w:val="center"/>
          </w:tcPr>
          <w:p>
            <w:pPr>
              <w:spacing w:line="330" w:lineRule="atLeast"/>
              <w:jc w:val="center"/>
              <w:rPr>
                <w:rFonts w:cs="宋体"/>
                <w:color w:val="2E2E2E"/>
                <w:szCs w:val="21"/>
              </w:rPr>
            </w:pPr>
            <w:r>
              <w:rPr>
                <w:rFonts w:hint="eastAsia" w:cs="宋体"/>
                <w:color w:val="2E2E2E"/>
                <w:szCs w:val="21"/>
              </w:rPr>
              <w:t>12周</w:t>
            </w:r>
          </w:p>
          <w:p>
            <w:pPr>
              <w:spacing w:line="330" w:lineRule="atLeast"/>
              <w:jc w:val="center"/>
              <w:rPr>
                <w:rFonts w:cs="宋体"/>
                <w:color w:val="2E2E2E"/>
                <w:szCs w:val="21"/>
              </w:rPr>
            </w:pPr>
            <w:r>
              <w:rPr>
                <w:rFonts w:hint="eastAsia" w:cs="宋体"/>
                <w:color w:val="2E2E2E"/>
                <w:szCs w:val="21"/>
              </w:rPr>
              <w:t>（Level 1）</w:t>
            </w:r>
          </w:p>
        </w:tc>
        <w:tc>
          <w:tcPr>
            <w:tcW w:w="2742" w:type="dxa"/>
            <w:tcBorders>
              <w:top w:val="outset" w:color="auto" w:sz="6" w:space="0"/>
              <w:left w:val="outset" w:color="auto" w:sz="6" w:space="0"/>
              <w:bottom w:val="outset" w:color="auto" w:sz="6" w:space="0"/>
              <w:right w:val="outset" w:color="auto" w:sz="6" w:space="0"/>
            </w:tcBorders>
            <w:vAlign w:val="center"/>
          </w:tcPr>
          <w:p>
            <w:pPr>
              <w:spacing w:line="330" w:lineRule="atLeast"/>
              <w:jc w:val="center"/>
              <w:rPr>
                <w:rFonts w:cs="宋体"/>
                <w:color w:val="2E2E2E"/>
                <w:szCs w:val="21"/>
              </w:rPr>
            </w:pPr>
            <w:r>
              <w:rPr>
                <w:rFonts w:cs="宋体"/>
                <w:color w:val="2E2E2E"/>
                <w:szCs w:val="21"/>
              </w:rPr>
              <w:t>20</w:t>
            </w:r>
            <w:r>
              <w:rPr>
                <w:rFonts w:hint="eastAsia" w:cs="宋体"/>
                <w:color w:val="2E2E2E"/>
                <w:szCs w:val="21"/>
              </w:rPr>
              <w:t>22年6月20日</w:t>
            </w:r>
            <w:r>
              <w:rPr>
                <w:rFonts w:cs="宋体"/>
                <w:color w:val="2E2E2E"/>
                <w:szCs w:val="21"/>
              </w:rPr>
              <w:t>—9</w:t>
            </w:r>
            <w:r>
              <w:rPr>
                <w:rFonts w:hAnsi="宋体" w:cs="宋体"/>
                <w:color w:val="2E2E2E"/>
                <w:szCs w:val="21"/>
              </w:rPr>
              <w:t>月</w:t>
            </w:r>
            <w:r>
              <w:rPr>
                <w:rFonts w:hint="eastAsia" w:cs="宋体"/>
                <w:color w:val="2E2E2E"/>
                <w:szCs w:val="21"/>
              </w:rPr>
              <w:t>9</w:t>
            </w:r>
            <w:r>
              <w:rPr>
                <w:rFonts w:hAnsi="宋体" w:cs="宋体"/>
                <w:color w:val="2E2E2E"/>
                <w:szCs w:val="21"/>
              </w:rPr>
              <w:t>日</w:t>
            </w:r>
          </w:p>
        </w:tc>
        <w:tc>
          <w:tcPr>
            <w:tcW w:w="1516" w:type="dxa"/>
            <w:tcBorders>
              <w:top w:val="outset" w:color="auto" w:sz="6" w:space="0"/>
              <w:left w:val="outset" w:color="auto" w:sz="6" w:space="0"/>
              <w:bottom w:val="outset" w:color="auto" w:sz="6" w:space="0"/>
              <w:right w:val="outset" w:color="auto" w:sz="6" w:space="0"/>
            </w:tcBorders>
            <w:vAlign w:val="center"/>
          </w:tcPr>
          <w:p>
            <w:pPr>
              <w:spacing w:line="330" w:lineRule="atLeast"/>
              <w:jc w:val="center"/>
              <w:rPr>
                <w:rFonts w:hAnsi="宋体" w:cs="宋体"/>
                <w:color w:val="2E2E2E"/>
                <w:szCs w:val="21"/>
              </w:rPr>
            </w:pPr>
            <w:r>
              <w:rPr>
                <w:rFonts w:hAnsi="宋体" w:cs="宋体"/>
                <w:color w:val="2E2E2E"/>
                <w:szCs w:val="21"/>
              </w:rPr>
              <w:t>￡</w:t>
            </w:r>
            <w:r>
              <w:rPr>
                <w:rFonts w:hint="eastAsia" w:hAnsi="宋体" w:cs="宋体"/>
                <w:color w:val="2E2E2E"/>
                <w:szCs w:val="21"/>
              </w:rPr>
              <w:t>4200</w:t>
            </w:r>
          </w:p>
        </w:tc>
        <w:tc>
          <w:tcPr>
            <w:tcW w:w="4273" w:type="dxa"/>
            <w:tcBorders>
              <w:top w:val="outset" w:color="auto" w:sz="6" w:space="0"/>
              <w:left w:val="outset" w:color="auto" w:sz="6" w:space="0"/>
              <w:bottom w:val="outset" w:color="auto" w:sz="6" w:space="0"/>
              <w:right w:val="outset" w:color="auto" w:sz="6" w:space="0"/>
            </w:tcBorders>
            <w:vAlign w:val="center"/>
          </w:tcPr>
          <w:p>
            <w:pPr>
              <w:spacing w:line="330" w:lineRule="atLeast"/>
              <w:rPr>
                <w:rFonts w:hAnsi="宋体" w:cs="宋体"/>
                <w:color w:val="2E2E2E"/>
                <w:szCs w:val="21"/>
              </w:rPr>
            </w:pPr>
            <w:r>
              <w:rPr>
                <w:rFonts w:hint="eastAsia" w:hAnsi="宋体" w:cs="宋体"/>
                <w:color w:val="2E2E2E"/>
                <w:szCs w:val="21"/>
              </w:rPr>
              <w:t>雅思5.0，各单项不低于4.5</w:t>
            </w:r>
            <w:r>
              <w:rPr>
                <w:rFonts w:hAnsi="宋体" w:cs="宋体"/>
                <w:color w:val="2E2E2E"/>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79" w:type="dxa"/>
            <w:tcBorders>
              <w:top w:val="outset" w:color="auto" w:sz="6" w:space="0"/>
              <w:left w:val="outset" w:color="auto" w:sz="6" w:space="0"/>
              <w:bottom w:val="outset" w:color="auto" w:sz="6" w:space="0"/>
              <w:right w:val="outset" w:color="auto" w:sz="6" w:space="0"/>
            </w:tcBorders>
            <w:vAlign w:val="center"/>
          </w:tcPr>
          <w:p>
            <w:pPr>
              <w:spacing w:line="330" w:lineRule="atLeast"/>
              <w:jc w:val="center"/>
              <w:rPr>
                <w:rFonts w:cs="宋体"/>
                <w:color w:val="2E2E2E"/>
                <w:szCs w:val="21"/>
              </w:rPr>
            </w:pPr>
            <w:r>
              <w:rPr>
                <w:rFonts w:hint="eastAsia" w:cs="宋体"/>
                <w:color w:val="2E2E2E"/>
                <w:szCs w:val="21"/>
              </w:rPr>
              <w:t>10周</w:t>
            </w:r>
          </w:p>
          <w:p>
            <w:pPr>
              <w:spacing w:line="330" w:lineRule="atLeast"/>
              <w:jc w:val="center"/>
              <w:rPr>
                <w:rFonts w:cs="宋体"/>
                <w:color w:val="2E2E2E"/>
                <w:szCs w:val="21"/>
              </w:rPr>
            </w:pPr>
            <w:r>
              <w:rPr>
                <w:rFonts w:hint="eastAsia" w:cs="宋体"/>
                <w:color w:val="2E2E2E"/>
                <w:szCs w:val="21"/>
              </w:rPr>
              <w:t>（Level 2）</w:t>
            </w:r>
          </w:p>
        </w:tc>
        <w:tc>
          <w:tcPr>
            <w:tcW w:w="2742" w:type="dxa"/>
            <w:tcBorders>
              <w:top w:val="outset" w:color="auto" w:sz="6" w:space="0"/>
              <w:left w:val="outset" w:color="auto" w:sz="6" w:space="0"/>
              <w:bottom w:val="outset" w:color="auto" w:sz="6" w:space="0"/>
              <w:right w:val="outset" w:color="auto" w:sz="6" w:space="0"/>
            </w:tcBorders>
            <w:vAlign w:val="center"/>
          </w:tcPr>
          <w:p>
            <w:pPr>
              <w:spacing w:line="330" w:lineRule="atLeast"/>
              <w:jc w:val="center"/>
              <w:rPr>
                <w:rFonts w:cs="宋体"/>
                <w:color w:val="2E2E2E"/>
                <w:szCs w:val="21"/>
              </w:rPr>
            </w:pPr>
            <w:r>
              <w:rPr>
                <w:rFonts w:cs="宋体"/>
                <w:color w:val="2E2E2E"/>
                <w:szCs w:val="21"/>
              </w:rPr>
              <w:t>20</w:t>
            </w:r>
            <w:r>
              <w:rPr>
                <w:rFonts w:hint="eastAsia" w:cs="宋体"/>
                <w:color w:val="2E2E2E"/>
                <w:szCs w:val="21"/>
              </w:rPr>
              <w:t>22年7月4日</w:t>
            </w:r>
            <w:r>
              <w:rPr>
                <w:rFonts w:cs="宋体"/>
                <w:color w:val="2E2E2E"/>
                <w:szCs w:val="21"/>
              </w:rPr>
              <w:t>—9</w:t>
            </w:r>
            <w:r>
              <w:rPr>
                <w:rFonts w:hAnsi="宋体" w:cs="宋体"/>
                <w:color w:val="2E2E2E"/>
                <w:szCs w:val="21"/>
              </w:rPr>
              <w:t>月</w:t>
            </w:r>
            <w:r>
              <w:rPr>
                <w:rFonts w:hint="eastAsia" w:cs="宋体"/>
                <w:color w:val="2E2E2E"/>
                <w:szCs w:val="21"/>
              </w:rPr>
              <w:t>9</w:t>
            </w:r>
            <w:r>
              <w:rPr>
                <w:rFonts w:hAnsi="宋体" w:cs="宋体"/>
                <w:color w:val="2E2E2E"/>
                <w:szCs w:val="21"/>
              </w:rPr>
              <w:t>日</w:t>
            </w:r>
          </w:p>
        </w:tc>
        <w:tc>
          <w:tcPr>
            <w:tcW w:w="1516" w:type="dxa"/>
            <w:tcBorders>
              <w:top w:val="outset" w:color="auto" w:sz="6" w:space="0"/>
              <w:left w:val="outset" w:color="auto" w:sz="6" w:space="0"/>
              <w:bottom w:val="outset" w:color="auto" w:sz="6" w:space="0"/>
              <w:right w:val="outset" w:color="auto" w:sz="6" w:space="0"/>
            </w:tcBorders>
            <w:vAlign w:val="center"/>
          </w:tcPr>
          <w:p>
            <w:pPr>
              <w:spacing w:line="330" w:lineRule="atLeast"/>
              <w:jc w:val="center"/>
              <w:rPr>
                <w:rFonts w:hAnsi="宋体" w:cs="宋体"/>
                <w:color w:val="2E2E2E"/>
                <w:szCs w:val="21"/>
              </w:rPr>
            </w:pPr>
            <w:r>
              <w:rPr>
                <w:rFonts w:hAnsi="宋体" w:cs="宋体"/>
                <w:color w:val="2E2E2E"/>
                <w:szCs w:val="21"/>
              </w:rPr>
              <w:t>￡</w:t>
            </w:r>
            <w:r>
              <w:rPr>
                <w:rFonts w:hint="eastAsia" w:hAnsi="宋体" w:cs="宋体"/>
                <w:color w:val="2E2E2E"/>
                <w:szCs w:val="21"/>
              </w:rPr>
              <w:t>3500</w:t>
            </w:r>
          </w:p>
        </w:tc>
        <w:tc>
          <w:tcPr>
            <w:tcW w:w="4273" w:type="dxa"/>
            <w:tcBorders>
              <w:top w:val="outset" w:color="auto" w:sz="6" w:space="0"/>
              <w:left w:val="outset" w:color="auto" w:sz="6" w:space="0"/>
              <w:bottom w:val="outset" w:color="auto" w:sz="6" w:space="0"/>
              <w:right w:val="outset" w:color="auto" w:sz="6" w:space="0"/>
            </w:tcBorders>
            <w:vAlign w:val="center"/>
          </w:tcPr>
          <w:p>
            <w:pPr>
              <w:spacing w:line="330" w:lineRule="atLeast"/>
              <w:rPr>
                <w:rFonts w:hAnsi="宋体" w:cs="宋体"/>
                <w:color w:val="2E2E2E"/>
                <w:szCs w:val="21"/>
              </w:rPr>
            </w:pPr>
            <w:r>
              <w:rPr>
                <w:rFonts w:hint="eastAsia" w:hAnsi="宋体" w:cs="宋体"/>
                <w:color w:val="2E2E2E"/>
                <w:szCs w:val="21"/>
              </w:rPr>
              <w:t>雅思5.5，各单项不低于5.0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79" w:type="dxa"/>
            <w:tcBorders>
              <w:top w:val="outset" w:color="auto" w:sz="6" w:space="0"/>
              <w:left w:val="outset" w:color="auto" w:sz="6" w:space="0"/>
              <w:bottom w:val="outset" w:color="auto" w:sz="6" w:space="0"/>
              <w:right w:val="outset" w:color="auto" w:sz="6" w:space="0"/>
            </w:tcBorders>
            <w:vAlign w:val="center"/>
          </w:tcPr>
          <w:p>
            <w:pPr>
              <w:spacing w:line="330" w:lineRule="atLeast"/>
              <w:jc w:val="center"/>
              <w:rPr>
                <w:rFonts w:cs="宋体"/>
                <w:color w:val="2E2E2E"/>
                <w:szCs w:val="21"/>
              </w:rPr>
            </w:pPr>
            <w:r>
              <w:rPr>
                <w:rFonts w:hint="eastAsia" w:cs="宋体"/>
                <w:color w:val="2E2E2E"/>
                <w:szCs w:val="21"/>
              </w:rPr>
              <w:t>8周</w:t>
            </w:r>
          </w:p>
          <w:p>
            <w:pPr>
              <w:spacing w:line="330" w:lineRule="atLeast"/>
              <w:jc w:val="center"/>
              <w:rPr>
                <w:rFonts w:cs="宋体"/>
                <w:color w:val="2E2E2E"/>
                <w:szCs w:val="21"/>
              </w:rPr>
            </w:pPr>
            <w:r>
              <w:rPr>
                <w:rFonts w:hint="eastAsia" w:cs="宋体"/>
                <w:color w:val="2E2E2E"/>
                <w:szCs w:val="21"/>
              </w:rPr>
              <w:t>（Level 3）</w:t>
            </w:r>
          </w:p>
        </w:tc>
        <w:tc>
          <w:tcPr>
            <w:tcW w:w="2742" w:type="dxa"/>
            <w:tcBorders>
              <w:top w:val="outset" w:color="auto" w:sz="6" w:space="0"/>
              <w:left w:val="outset" w:color="auto" w:sz="6" w:space="0"/>
              <w:bottom w:val="outset" w:color="auto" w:sz="6" w:space="0"/>
              <w:right w:val="outset" w:color="auto" w:sz="6" w:space="0"/>
            </w:tcBorders>
            <w:vAlign w:val="center"/>
          </w:tcPr>
          <w:p>
            <w:pPr>
              <w:spacing w:line="330" w:lineRule="atLeast"/>
              <w:jc w:val="center"/>
              <w:rPr>
                <w:rFonts w:cs="宋体"/>
                <w:color w:val="2E2E2E"/>
                <w:szCs w:val="21"/>
              </w:rPr>
            </w:pPr>
            <w:r>
              <w:rPr>
                <w:rFonts w:cs="宋体"/>
                <w:color w:val="2E2E2E"/>
                <w:szCs w:val="21"/>
              </w:rPr>
              <w:t>20</w:t>
            </w:r>
            <w:r>
              <w:rPr>
                <w:rFonts w:hint="eastAsia" w:cs="宋体"/>
                <w:color w:val="2E2E2E"/>
                <w:szCs w:val="21"/>
              </w:rPr>
              <w:t>22</w:t>
            </w:r>
            <w:r>
              <w:rPr>
                <w:rFonts w:hAnsi="宋体" w:cs="宋体"/>
                <w:color w:val="2E2E2E"/>
                <w:szCs w:val="21"/>
              </w:rPr>
              <w:t>年</w:t>
            </w:r>
            <w:r>
              <w:rPr>
                <w:rFonts w:hint="eastAsia" w:cs="宋体"/>
                <w:color w:val="2E2E2E"/>
                <w:szCs w:val="21"/>
              </w:rPr>
              <w:t>7</w:t>
            </w:r>
            <w:r>
              <w:rPr>
                <w:rFonts w:hAnsi="宋体" w:cs="宋体"/>
                <w:color w:val="2E2E2E"/>
                <w:szCs w:val="21"/>
              </w:rPr>
              <w:t>月</w:t>
            </w:r>
            <w:r>
              <w:rPr>
                <w:rFonts w:hint="eastAsia" w:hAnsi="宋体" w:cs="宋体"/>
                <w:color w:val="2E2E2E"/>
                <w:szCs w:val="21"/>
              </w:rPr>
              <w:t>18</w:t>
            </w:r>
            <w:r>
              <w:rPr>
                <w:rFonts w:hAnsi="宋体" w:cs="宋体"/>
                <w:color w:val="2E2E2E"/>
                <w:szCs w:val="21"/>
              </w:rPr>
              <w:t>日</w:t>
            </w:r>
            <w:r>
              <w:rPr>
                <w:rFonts w:cs="宋体"/>
                <w:color w:val="2E2E2E"/>
                <w:szCs w:val="21"/>
              </w:rPr>
              <w:t>—9</w:t>
            </w:r>
            <w:r>
              <w:rPr>
                <w:rFonts w:hAnsi="宋体" w:cs="宋体"/>
                <w:color w:val="2E2E2E"/>
                <w:szCs w:val="21"/>
              </w:rPr>
              <w:t>月</w:t>
            </w:r>
            <w:r>
              <w:rPr>
                <w:rFonts w:hint="eastAsia" w:cs="宋体"/>
                <w:color w:val="2E2E2E"/>
                <w:szCs w:val="21"/>
              </w:rPr>
              <w:t>9</w:t>
            </w:r>
            <w:r>
              <w:rPr>
                <w:rFonts w:hAnsi="宋体" w:cs="宋体"/>
                <w:color w:val="2E2E2E"/>
                <w:szCs w:val="21"/>
              </w:rPr>
              <w:t>日</w:t>
            </w:r>
          </w:p>
        </w:tc>
        <w:tc>
          <w:tcPr>
            <w:tcW w:w="1516" w:type="dxa"/>
            <w:tcBorders>
              <w:top w:val="outset" w:color="auto" w:sz="6" w:space="0"/>
              <w:left w:val="outset" w:color="auto" w:sz="6" w:space="0"/>
              <w:bottom w:val="outset" w:color="auto" w:sz="6" w:space="0"/>
              <w:right w:val="outset" w:color="auto" w:sz="6" w:space="0"/>
            </w:tcBorders>
            <w:vAlign w:val="center"/>
          </w:tcPr>
          <w:p>
            <w:pPr>
              <w:spacing w:line="330" w:lineRule="atLeast"/>
              <w:jc w:val="center"/>
              <w:rPr>
                <w:rFonts w:cs="宋体"/>
                <w:color w:val="2E2E2E"/>
                <w:szCs w:val="21"/>
              </w:rPr>
            </w:pPr>
            <w:r>
              <w:rPr>
                <w:rFonts w:hAnsi="宋体" w:cs="宋体"/>
                <w:color w:val="2E2E2E"/>
                <w:szCs w:val="21"/>
              </w:rPr>
              <w:t>￡</w:t>
            </w:r>
            <w:r>
              <w:rPr>
                <w:rFonts w:hint="eastAsia" w:cs="宋体"/>
                <w:color w:val="2E2E2E"/>
                <w:szCs w:val="21"/>
              </w:rPr>
              <w:t>2800</w:t>
            </w:r>
          </w:p>
        </w:tc>
        <w:tc>
          <w:tcPr>
            <w:tcW w:w="4273" w:type="dxa"/>
            <w:tcBorders>
              <w:top w:val="outset" w:color="auto" w:sz="6" w:space="0"/>
              <w:left w:val="outset" w:color="auto" w:sz="6" w:space="0"/>
              <w:bottom w:val="outset" w:color="auto" w:sz="6" w:space="0"/>
              <w:right w:val="outset" w:color="auto" w:sz="6" w:space="0"/>
            </w:tcBorders>
          </w:tcPr>
          <w:p>
            <w:pPr>
              <w:spacing w:line="330" w:lineRule="atLeast"/>
              <w:rPr>
                <w:rFonts w:hAnsi="宋体" w:cs="宋体"/>
                <w:color w:val="2E2E2E"/>
                <w:szCs w:val="21"/>
              </w:rPr>
            </w:pPr>
            <w:r>
              <w:rPr>
                <w:rFonts w:hint="eastAsia" w:hAnsi="宋体" w:cs="宋体"/>
                <w:color w:val="2E2E2E"/>
                <w:szCs w:val="21"/>
              </w:rPr>
              <w:t xml:space="preserve">写作达到入学要求，雅思总分和其余单项只低于入学标准0.5分 </w:t>
            </w:r>
          </w:p>
          <w:p>
            <w:pPr>
              <w:spacing w:line="330" w:lineRule="atLeast"/>
              <w:ind w:firstLine="210" w:firstLineChars="100"/>
              <w:rPr>
                <w:rFonts w:hAnsi="宋体" w:cs="宋体"/>
                <w:color w:val="2E2E2E"/>
                <w:szCs w:val="21"/>
              </w:rPr>
            </w:pPr>
            <w:r>
              <w:rPr>
                <w:rFonts w:hint="eastAsia" w:hAnsi="宋体" w:cs="宋体"/>
                <w:color w:val="2E2E2E"/>
                <w:szCs w:val="21"/>
              </w:rPr>
              <w:t xml:space="preserve">         或</w:t>
            </w:r>
          </w:p>
          <w:p>
            <w:pPr>
              <w:spacing w:line="330" w:lineRule="atLeast"/>
              <w:rPr>
                <w:rFonts w:hAnsi="宋体" w:cs="宋体"/>
                <w:color w:val="2E2E2E"/>
                <w:szCs w:val="21"/>
              </w:rPr>
            </w:pPr>
            <w:r>
              <w:rPr>
                <w:rFonts w:hint="eastAsia" w:hAnsi="宋体" w:cs="宋体"/>
                <w:color w:val="2E2E2E"/>
                <w:szCs w:val="21"/>
              </w:rPr>
              <w:t>雅思总分合格，写作只低于入学标准0.5</w:t>
            </w:r>
          </w:p>
        </w:tc>
      </w:tr>
    </w:tbl>
    <w:p/>
    <w:p>
      <w:pPr>
        <w:spacing w:line="276" w:lineRule="auto"/>
        <w:rPr>
          <w:rFonts w:hint="eastAsia" w:ascii="Calibri" w:hAnsi="Calibri" w:cs="Calibri"/>
          <w:szCs w:val="21"/>
        </w:rPr>
      </w:pPr>
    </w:p>
    <w:p>
      <w:pPr>
        <w:spacing w:line="276" w:lineRule="auto"/>
        <w:rPr>
          <w:rFonts w:ascii="Calibri" w:hAnsi="Calibri" w:cs="Calibri"/>
          <w:szCs w:val="21"/>
        </w:rPr>
      </w:pPr>
      <w:r>
        <w:rPr>
          <w:rFonts w:ascii="Calibri" w:hAnsi="Calibri" w:cs="Calibri"/>
          <w:szCs w:val="21"/>
        </w:rPr>
        <w:drawing>
          <wp:anchor distT="0" distB="0" distL="114300" distR="114300" simplePos="0" relativeHeight="251661312" behindDoc="0" locked="0" layoutInCell="1" allowOverlap="1">
            <wp:simplePos x="0" y="0"/>
            <wp:positionH relativeFrom="column">
              <wp:posOffset>2800350</wp:posOffset>
            </wp:positionH>
            <wp:positionV relativeFrom="paragraph">
              <wp:posOffset>16510</wp:posOffset>
            </wp:positionV>
            <wp:extent cx="3448050" cy="1714500"/>
            <wp:effectExtent l="19050" t="0" r="0" b="0"/>
            <wp:wrapSquare wrapText="bothSides"/>
            <wp:docPr id="3" name="图片 1" descr="C:\Users\zhanglei\Desktop\061d3596-853e-4ba8-a5a9-6ecb4aae77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zhanglei\Desktop\061d3596-853e-4ba8-a5a9-6ecb4aae77cd.jpg"/>
                    <pic:cNvPicPr>
                      <a:picLocks noChangeAspect="1" noChangeArrowheads="1"/>
                    </pic:cNvPicPr>
                  </pic:nvPicPr>
                  <pic:blipFill>
                    <a:blip r:embed="rId6" cstate="print"/>
                    <a:srcRect/>
                    <a:stretch>
                      <a:fillRect/>
                    </a:stretch>
                  </pic:blipFill>
                  <pic:spPr>
                    <a:xfrm>
                      <a:off x="0" y="0"/>
                      <a:ext cx="3448050" cy="1714500"/>
                    </a:xfrm>
                    <a:prstGeom prst="rect">
                      <a:avLst/>
                    </a:prstGeom>
                    <a:noFill/>
                    <a:ln w="9525">
                      <a:noFill/>
                      <a:miter lim="800000"/>
                      <a:headEnd/>
                      <a:tailEnd/>
                    </a:ln>
                  </pic:spPr>
                </pic:pic>
              </a:graphicData>
            </a:graphic>
          </wp:anchor>
        </w:drawing>
      </w:r>
    </w:p>
    <w:p>
      <w:pPr>
        <w:spacing w:line="276" w:lineRule="auto"/>
        <w:jc w:val="left"/>
      </w:pPr>
    </w:p>
    <w:p>
      <w:pPr>
        <w:spacing w:line="276" w:lineRule="auto"/>
        <w:jc w:val="left"/>
      </w:pPr>
    </w:p>
    <w:p>
      <w:pPr>
        <w:spacing w:line="276" w:lineRule="auto"/>
        <w:rPr>
          <w:rFonts w:cstheme="minorHAnsi"/>
          <w:b/>
          <w:sz w:val="28"/>
          <w:szCs w:val="28"/>
        </w:rPr>
      </w:pPr>
      <w:r>
        <w:rPr>
          <w:rFonts w:cstheme="minorHAnsi"/>
          <w:b/>
          <w:sz w:val="28"/>
          <w:szCs w:val="28"/>
        </w:rPr>
        <w:t xml:space="preserve">附-- </w:t>
      </w:r>
      <w:r>
        <w:rPr>
          <w:rFonts w:hAnsi="Times New Roman" w:cstheme="minorHAnsi"/>
          <w:b/>
          <w:sz w:val="28"/>
          <w:szCs w:val="28"/>
        </w:rPr>
        <w:t>衔接专业推荐</w:t>
      </w:r>
      <w:r>
        <w:rPr>
          <w:rFonts w:cstheme="minorHAnsi"/>
          <w:b/>
          <w:sz w:val="28"/>
          <w:szCs w:val="28"/>
        </w:rPr>
        <w:t>：</w:t>
      </w:r>
    </w:p>
    <w:p>
      <w:pPr>
        <w:jc w:val="left"/>
        <w:rPr>
          <w:rFonts w:hint="eastAsia"/>
          <w:b/>
          <w:color w:val="7030A0"/>
          <w:sz w:val="24"/>
        </w:rPr>
      </w:pPr>
      <w:r>
        <w:rPr>
          <w:b/>
          <w:color w:val="7030A0"/>
          <w:sz w:val="24"/>
        </w:rPr>
        <w:t>商科</w:t>
      </w:r>
    </w:p>
    <w:p>
      <w:pPr>
        <w:jc w:val="left"/>
        <w:rPr>
          <w:rFonts w:hint="eastAsia"/>
          <w:b/>
        </w:rPr>
      </w:pPr>
      <w:r>
        <w:rPr>
          <w:rFonts w:hint="eastAsia"/>
          <w:b/>
        </w:rPr>
        <w:t>本科</w:t>
      </w:r>
    </w:p>
    <w:p>
      <w:pPr>
        <w:numPr>
          <w:ilvl w:val="0"/>
          <w:numId w:val="7"/>
        </w:numPr>
        <w:ind w:right="-624" w:rightChars="-297"/>
        <w:jc w:val="left"/>
        <w:rPr>
          <w:rFonts w:hint="eastAsia"/>
          <w:color w:val="00B0F0"/>
        </w:rPr>
      </w:pPr>
      <w:r>
        <w:rPr>
          <w:rFonts w:hint="eastAsia"/>
          <w:b/>
          <w:color w:val="000000"/>
          <w:szCs w:val="21"/>
        </w:rPr>
        <w:t>以下本科专业均开设有三年制课程、含一年带薪实习的四年制课程</w:t>
      </w:r>
    </w:p>
    <w:p>
      <w:pPr>
        <w:pStyle w:val="12"/>
        <w:ind w:right="-764" w:rightChars="-364" w:firstLine="0" w:firstLineChars="0"/>
        <w:jc w:val="left"/>
        <w:rPr>
          <w:rFonts w:ascii="Times New Roman" w:hAnsi="Times New Roman"/>
          <w:color w:val="000000"/>
          <w:szCs w:val="21"/>
        </w:rPr>
      </w:pPr>
      <w:r>
        <w:rPr>
          <w:rFonts w:ascii="Times New Roman" w:hAnsi="Times New Roman"/>
          <w:color w:val="000000"/>
          <w:szCs w:val="21"/>
        </w:rPr>
        <w:t xml:space="preserve">BSc Accounting </w:t>
      </w:r>
      <w:r>
        <w:rPr>
          <w:rFonts w:ascii="Times New Roman"/>
          <w:color w:val="000000"/>
          <w:szCs w:val="21"/>
        </w:rPr>
        <w:t>会计学</w:t>
      </w:r>
      <w:r>
        <w:rPr>
          <w:rFonts w:hAnsi="Times New Roman"/>
          <w:color w:val="00B0F0"/>
          <w:szCs w:val="21"/>
        </w:rPr>
        <w:t>（</w:t>
      </w:r>
      <w:r>
        <w:rPr>
          <w:color w:val="00B0F0"/>
          <w:szCs w:val="21"/>
        </w:rPr>
        <w:t>ACCA</w:t>
      </w:r>
      <w:r>
        <w:rPr>
          <w:rFonts w:hAnsi="Times New Roman"/>
          <w:color w:val="00B0F0"/>
          <w:szCs w:val="21"/>
        </w:rPr>
        <w:t>免考</w:t>
      </w:r>
      <w:r>
        <w:rPr>
          <w:color w:val="00B0F0"/>
          <w:szCs w:val="21"/>
        </w:rPr>
        <w:t>全部9门基础科目，CIMA免考9门科目</w:t>
      </w:r>
      <w:r>
        <w:rPr>
          <w:rFonts w:hint="eastAsia"/>
          <w:color w:val="00B0F0"/>
          <w:szCs w:val="21"/>
        </w:rPr>
        <w:t>，</w:t>
      </w:r>
      <w:r>
        <w:rPr>
          <w:color w:val="00B0F0"/>
          <w:szCs w:val="21"/>
        </w:rPr>
        <w:t>全英排名</w:t>
      </w:r>
      <w:r>
        <w:rPr>
          <w:rFonts w:hint="eastAsia"/>
          <w:color w:val="00B0F0"/>
          <w:szCs w:val="21"/>
        </w:rPr>
        <w:t>top20</w:t>
      </w:r>
      <w:r>
        <w:rPr>
          <w:color w:val="00B0F0"/>
          <w:szCs w:val="21"/>
        </w:rPr>
        <w:t>）</w:t>
      </w:r>
    </w:p>
    <w:p>
      <w:pPr>
        <w:ind w:left="850" w:leftChars="1" w:right="-1474" w:rightChars="-702" w:hanging="848" w:hangingChars="404"/>
        <w:jc w:val="left"/>
        <w:rPr>
          <w:color w:val="000000"/>
          <w:szCs w:val="21"/>
        </w:rPr>
      </w:pPr>
      <w:r>
        <w:rPr>
          <w:color w:val="000000"/>
          <w:szCs w:val="21"/>
        </w:rPr>
        <w:t>BSc Accounting and Finance 会计和金融</w:t>
      </w:r>
      <w:r>
        <w:rPr>
          <w:rFonts w:ascii="Calibri"/>
          <w:color w:val="00B0F0"/>
          <w:szCs w:val="21"/>
        </w:rPr>
        <w:t>（</w:t>
      </w:r>
      <w:r>
        <w:rPr>
          <w:rFonts w:ascii="Calibri" w:hAnsi="Calibri"/>
          <w:color w:val="00B0F0"/>
          <w:szCs w:val="21"/>
        </w:rPr>
        <w:t>ACCA</w:t>
      </w:r>
      <w:r>
        <w:rPr>
          <w:rFonts w:ascii="Calibri"/>
          <w:color w:val="00B0F0"/>
          <w:szCs w:val="21"/>
        </w:rPr>
        <w:t>免考</w:t>
      </w:r>
      <w:r>
        <w:rPr>
          <w:rFonts w:ascii="Calibri" w:hAnsi="Calibri"/>
          <w:color w:val="00B0F0"/>
          <w:szCs w:val="21"/>
        </w:rPr>
        <w:t>8门基础科目，CIMA</w:t>
      </w:r>
      <w:r>
        <w:rPr>
          <w:rFonts w:ascii="Calibri"/>
          <w:color w:val="00B0F0"/>
          <w:szCs w:val="21"/>
        </w:rPr>
        <w:t>免考</w:t>
      </w:r>
      <w:r>
        <w:rPr>
          <w:rFonts w:ascii="Calibri" w:hAnsi="Calibri"/>
          <w:color w:val="00B0F0"/>
          <w:szCs w:val="21"/>
        </w:rPr>
        <w:t>9</w:t>
      </w:r>
      <w:r>
        <w:rPr>
          <w:rFonts w:ascii="Calibri"/>
          <w:color w:val="00B0F0"/>
          <w:szCs w:val="21"/>
        </w:rPr>
        <w:t>门科目</w:t>
      </w:r>
      <w:r>
        <w:rPr>
          <w:rFonts w:hint="eastAsia"/>
          <w:color w:val="00B0F0"/>
          <w:szCs w:val="21"/>
        </w:rPr>
        <w:t>，</w:t>
      </w:r>
      <w:r>
        <w:rPr>
          <w:color w:val="00B0F0"/>
          <w:szCs w:val="21"/>
        </w:rPr>
        <w:t>全英排名</w:t>
      </w:r>
      <w:r>
        <w:rPr>
          <w:rFonts w:hint="eastAsia"/>
          <w:color w:val="00B0F0"/>
          <w:szCs w:val="21"/>
        </w:rPr>
        <w:t>top20</w:t>
      </w:r>
      <w:r>
        <w:rPr>
          <w:rFonts w:ascii="Calibri"/>
          <w:color w:val="00B0F0"/>
          <w:szCs w:val="21"/>
        </w:rPr>
        <w:t>）</w:t>
      </w:r>
    </w:p>
    <w:p>
      <w:pPr>
        <w:ind w:left="850" w:leftChars="1" w:right="-764" w:rightChars="-364" w:hanging="848" w:hangingChars="404"/>
        <w:jc w:val="left"/>
        <w:rPr>
          <w:rFonts w:hint="eastAsia" w:ascii="Calibri"/>
          <w:color w:val="00B0F0"/>
          <w:szCs w:val="21"/>
        </w:rPr>
      </w:pPr>
      <w:r>
        <w:rPr>
          <w:color w:val="000000"/>
          <w:szCs w:val="21"/>
        </w:rPr>
        <w:t>BSc Finance 金融学</w:t>
      </w:r>
      <w:r>
        <w:rPr>
          <w:rFonts w:ascii="Calibri"/>
          <w:color w:val="00B0F0"/>
          <w:szCs w:val="21"/>
        </w:rPr>
        <w:t>（被</w:t>
      </w:r>
      <w:r>
        <w:rPr>
          <w:rFonts w:ascii="Calibri" w:hAnsi="Calibri"/>
          <w:color w:val="00B0F0"/>
          <w:szCs w:val="21"/>
        </w:rPr>
        <w:t>CFA所认可</w:t>
      </w:r>
      <w:r>
        <w:rPr>
          <w:rFonts w:ascii="Calibri"/>
          <w:color w:val="00B0F0"/>
          <w:szCs w:val="21"/>
        </w:rPr>
        <w:t>）</w:t>
      </w:r>
    </w:p>
    <w:p>
      <w:pPr>
        <w:ind w:left="850" w:leftChars="1" w:right="-764" w:rightChars="-364" w:hanging="848" w:hangingChars="404"/>
        <w:jc w:val="left"/>
        <w:rPr>
          <w:rFonts w:hint="eastAsia"/>
          <w:color w:val="000000"/>
          <w:szCs w:val="21"/>
        </w:rPr>
      </w:pPr>
      <w:r>
        <w:rPr>
          <w:color w:val="000000"/>
          <w:szCs w:val="21"/>
        </w:rPr>
        <w:t>BSc Marketing</w:t>
      </w:r>
      <w:r>
        <w:rPr>
          <w:rFonts w:hint="eastAsia"/>
          <w:color w:val="000000"/>
          <w:szCs w:val="21"/>
        </w:rPr>
        <w:t xml:space="preserve"> </w:t>
      </w:r>
      <w:r>
        <w:rPr>
          <w:color w:val="000000"/>
          <w:szCs w:val="21"/>
        </w:rPr>
        <w:t>市场营销</w:t>
      </w:r>
      <w:r>
        <w:rPr>
          <w:rFonts w:ascii="Calibri"/>
          <w:color w:val="00B0F0"/>
          <w:szCs w:val="21"/>
        </w:rPr>
        <w:t>（</w:t>
      </w:r>
      <w:r>
        <w:rPr>
          <w:rFonts w:ascii="Calibri" w:hAnsi="Calibri"/>
          <w:color w:val="00B0F0"/>
          <w:szCs w:val="21"/>
        </w:rPr>
        <w:t>CIM</w:t>
      </w:r>
      <w:r>
        <w:rPr>
          <w:rFonts w:ascii="Calibri"/>
          <w:color w:val="00B0F0"/>
          <w:szCs w:val="21"/>
        </w:rPr>
        <w:t>免考部分科目）</w:t>
      </w:r>
    </w:p>
    <w:p>
      <w:pPr>
        <w:ind w:left="850" w:leftChars="1" w:right="-764" w:rightChars="-364" w:hanging="848" w:hangingChars="404"/>
        <w:jc w:val="left"/>
        <w:rPr>
          <w:color w:val="000000"/>
          <w:szCs w:val="21"/>
        </w:rPr>
      </w:pPr>
      <w:r>
        <w:rPr>
          <w:rFonts w:hint="eastAsia"/>
          <w:color w:val="000000"/>
          <w:szCs w:val="21"/>
        </w:rPr>
        <w:t xml:space="preserve">BSc International </w:t>
      </w:r>
      <w:r>
        <w:rPr>
          <w:color w:val="000000"/>
          <w:szCs w:val="21"/>
        </w:rPr>
        <w:t>Tourism</w:t>
      </w:r>
      <w:r>
        <w:rPr>
          <w:rFonts w:hint="eastAsia"/>
          <w:color w:val="000000"/>
          <w:szCs w:val="21"/>
        </w:rPr>
        <w:t xml:space="preserve"> Management 国际旅游管理</w:t>
      </w:r>
    </w:p>
    <w:p>
      <w:pPr>
        <w:pStyle w:val="12"/>
        <w:ind w:right="-764" w:rightChars="-364" w:firstLine="0" w:firstLineChars="0"/>
        <w:jc w:val="left"/>
        <w:rPr>
          <w:rFonts w:ascii="Times New Roman" w:hAnsi="Times New Roman"/>
          <w:color w:val="000000"/>
          <w:szCs w:val="21"/>
        </w:rPr>
      </w:pPr>
      <w:r>
        <w:rPr>
          <w:rFonts w:ascii="Times New Roman" w:hAnsi="Times New Roman"/>
          <w:color w:val="000000"/>
          <w:szCs w:val="21"/>
        </w:rPr>
        <w:t>BSc Busine</w:t>
      </w:r>
      <w:r>
        <w:rPr>
          <w:rFonts w:ascii="Times New Roman" w:hAnsi="Times New Roman"/>
          <w:szCs w:val="21"/>
        </w:rPr>
        <w:t>ss Management 商业</w:t>
      </w:r>
      <w:r>
        <w:rPr>
          <w:rFonts w:ascii="Times New Roman" w:hAnsi="Times New Roman"/>
          <w:color w:val="000000"/>
          <w:szCs w:val="21"/>
        </w:rPr>
        <w:t>管理</w:t>
      </w:r>
      <w:r>
        <w:rPr>
          <w:rFonts w:hint="eastAsia"/>
          <w:color w:val="00B0F0"/>
          <w:szCs w:val="21"/>
        </w:rPr>
        <w:t>（管理专业将获得CMI level 5职业资格证书）</w:t>
      </w:r>
    </w:p>
    <w:p>
      <w:pPr>
        <w:ind w:left="850" w:leftChars="1" w:right="-764" w:rightChars="-364" w:hanging="848" w:hangingChars="404"/>
        <w:jc w:val="left"/>
        <w:rPr>
          <w:szCs w:val="21"/>
        </w:rPr>
      </w:pPr>
      <w:r>
        <w:rPr>
          <w:color w:val="000000"/>
          <w:szCs w:val="21"/>
        </w:rPr>
        <w:t>BSc Business Management (</w:t>
      </w:r>
      <w:r>
        <w:rPr>
          <w:szCs w:val="21"/>
        </w:rPr>
        <w:t>Finance) 商业管理(金融)</w:t>
      </w:r>
    </w:p>
    <w:p>
      <w:pPr>
        <w:ind w:right="-212" w:rightChars="-101"/>
        <w:jc w:val="left"/>
        <w:rPr>
          <w:rFonts w:hint="eastAsia"/>
          <w:szCs w:val="21"/>
        </w:rPr>
      </w:pPr>
      <w:r>
        <w:rPr>
          <w:szCs w:val="21"/>
        </w:rPr>
        <w:t>BSc Business Management (Tourism) 商业管理(</w:t>
      </w:r>
      <w:r>
        <w:rPr>
          <w:rFonts w:hint="eastAsia"/>
          <w:szCs w:val="21"/>
        </w:rPr>
        <w:t>旅游</w:t>
      </w:r>
      <w:r>
        <w:rPr>
          <w:szCs w:val="21"/>
        </w:rPr>
        <w:t>)</w:t>
      </w:r>
    </w:p>
    <w:p>
      <w:pPr>
        <w:ind w:left="850" w:leftChars="1" w:right="-764" w:rightChars="-364" w:hanging="848" w:hangingChars="404"/>
        <w:jc w:val="left"/>
        <w:rPr>
          <w:color w:val="000000"/>
          <w:szCs w:val="21"/>
        </w:rPr>
      </w:pPr>
      <w:r>
        <w:rPr>
          <w:szCs w:val="21"/>
        </w:rPr>
        <w:t xml:space="preserve">BSc Business Management (Marketing) </w:t>
      </w:r>
      <w:r>
        <w:rPr>
          <w:color w:val="000000"/>
          <w:szCs w:val="21"/>
        </w:rPr>
        <w:t>商业管理(市场营销)</w:t>
      </w:r>
      <w:r>
        <w:rPr>
          <w:rFonts w:ascii="Calibri"/>
          <w:color w:val="00B0F0"/>
          <w:szCs w:val="21"/>
        </w:rPr>
        <w:t xml:space="preserve"> （</w:t>
      </w:r>
      <w:r>
        <w:rPr>
          <w:rFonts w:ascii="Calibri" w:hAnsi="Calibri"/>
          <w:color w:val="00B0F0"/>
          <w:szCs w:val="21"/>
        </w:rPr>
        <w:t>CIM</w:t>
      </w:r>
      <w:r>
        <w:rPr>
          <w:rFonts w:ascii="Calibri"/>
          <w:color w:val="00B0F0"/>
          <w:szCs w:val="21"/>
        </w:rPr>
        <w:t>免考部分科目）</w:t>
      </w:r>
    </w:p>
    <w:p>
      <w:r>
        <w:rPr>
          <w:color w:val="000000"/>
          <w:szCs w:val="21"/>
        </w:rPr>
        <w:t>BSc Business Managem</w:t>
      </w:r>
      <w:r>
        <w:rPr>
          <w:szCs w:val="21"/>
        </w:rPr>
        <w:t>ent (</w:t>
      </w:r>
      <w:r>
        <w:t xml:space="preserve">E-Business) </w:t>
      </w:r>
      <w:r>
        <w:rPr>
          <w:szCs w:val="21"/>
        </w:rPr>
        <w:t>商业管理(电子商务)</w:t>
      </w:r>
    </w:p>
    <w:p>
      <w:pPr>
        <w:ind w:left="850" w:leftChars="1" w:right="-764" w:rightChars="-364" w:hanging="848" w:hangingChars="404"/>
        <w:jc w:val="left"/>
        <w:rPr>
          <w:szCs w:val="21"/>
        </w:rPr>
      </w:pPr>
      <w:r>
        <w:rPr>
          <w:szCs w:val="21"/>
        </w:rPr>
        <w:t>BSc Business Management (Business Analytics) 商业管理(商业分析)</w:t>
      </w:r>
    </w:p>
    <w:p>
      <w:pPr>
        <w:ind w:left="850" w:leftChars="1" w:right="-764" w:rightChars="-364" w:hanging="848" w:hangingChars="404"/>
        <w:jc w:val="left"/>
        <w:rPr>
          <w:szCs w:val="21"/>
        </w:rPr>
      </w:pPr>
      <w:r>
        <w:rPr>
          <w:szCs w:val="21"/>
        </w:rPr>
        <w:t>BSc Business Management (Management Consulting) 商业管理(管理咨询)</w:t>
      </w:r>
    </w:p>
    <w:p>
      <w:pPr>
        <w:rPr>
          <w:szCs w:val="21"/>
        </w:rPr>
      </w:pPr>
      <w:r>
        <w:rPr>
          <w:szCs w:val="21"/>
        </w:rPr>
        <w:t>BSc Business Management (</w:t>
      </w:r>
      <w:r>
        <w:t>Enterprise and Innovation</w:t>
      </w:r>
      <w:r>
        <w:rPr>
          <w:szCs w:val="21"/>
        </w:rPr>
        <w:t>) 商业管理(</w:t>
      </w:r>
      <w:r>
        <w:rPr>
          <w:rFonts w:hint="eastAsia"/>
          <w:szCs w:val="21"/>
        </w:rPr>
        <w:t>企业</w:t>
      </w:r>
      <w:r>
        <w:rPr>
          <w:szCs w:val="21"/>
        </w:rPr>
        <w:t>与创新)</w:t>
      </w:r>
    </w:p>
    <w:p>
      <w:pPr>
        <w:ind w:left="850" w:leftChars="1" w:right="-212" w:rightChars="-101" w:hanging="848" w:hangingChars="404"/>
        <w:jc w:val="left"/>
        <w:rPr>
          <w:szCs w:val="21"/>
        </w:rPr>
      </w:pPr>
      <w:r>
        <w:rPr>
          <w:szCs w:val="21"/>
        </w:rPr>
        <w:t>BSc Business Management (</w:t>
      </w:r>
      <w:r>
        <w:t>Human Resources Management)</w:t>
      </w:r>
      <w:r>
        <w:rPr>
          <w:szCs w:val="21"/>
        </w:rPr>
        <w:t xml:space="preserve"> 商业管理(人力资源管理)</w:t>
      </w:r>
    </w:p>
    <w:p>
      <w:pPr>
        <w:ind w:left="850" w:leftChars="1" w:right="-624" w:rightChars="-297" w:hanging="848" w:hangingChars="404"/>
        <w:jc w:val="left"/>
        <w:rPr>
          <w:rFonts w:hint="eastAsia"/>
          <w:color w:val="000000"/>
          <w:szCs w:val="21"/>
        </w:rPr>
      </w:pPr>
      <w:r>
        <w:rPr>
          <w:szCs w:val="21"/>
        </w:rPr>
        <w:t>BSc Business Management (</w:t>
      </w:r>
      <w:r>
        <w:t>Operations and Supply Management)</w:t>
      </w:r>
      <w:r>
        <w:rPr>
          <w:color w:val="000000"/>
          <w:szCs w:val="21"/>
        </w:rPr>
        <w:t xml:space="preserve"> 商业管理(</w:t>
      </w:r>
      <w:r>
        <w:rPr>
          <w:rFonts w:hint="eastAsia"/>
          <w:color w:val="000000"/>
          <w:szCs w:val="21"/>
        </w:rPr>
        <w:t>运营和</w:t>
      </w:r>
      <w:r>
        <w:rPr>
          <w:color w:val="000000"/>
          <w:szCs w:val="21"/>
        </w:rPr>
        <w:t>供应链管理)</w:t>
      </w:r>
    </w:p>
    <w:p>
      <w:pPr>
        <w:ind w:right="-212" w:rightChars="-101"/>
        <w:jc w:val="left"/>
      </w:pPr>
      <w:r>
        <w:rPr>
          <w:rFonts w:hint="eastAsia"/>
          <w:b/>
        </w:rPr>
        <w:t>硕士</w:t>
      </w:r>
    </w:p>
    <w:p>
      <w:pPr>
        <w:ind w:left="1024" w:leftChars="1" w:right="-212" w:rightChars="-101" w:hanging="1022" w:hangingChars="487"/>
        <w:jc w:val="left"/>
        <w:rPr>
          <w:color w:val="000000"/>
          <w:szCs w:val="21"/>
        </w:rPr>
      </w:pPr>
      <w:r>
        <w:rPr>
          <w:rFonts w:hint="eastAsia"/>
          <w:color w:val="000000"/>
          <w:szCs w:val="21"/>
        </w:rPr>
        <w:t xml:space="preserve">MSc International </w:t>
      </w:r>
      <w:r>
        <w:rPr>
          <w:color w:val="000000"/>
          <w:szCs w:val="21"/>
        </w:rPr>
        <w:t>Finance</w:t>
      </w:r>
      <w:r>
        <w:rPr>
          <w:rFonts w:hint="eastAsia"/>
          <w:color w:val="000000"/>
          <w:szCs w:val="21"/>
        </w:rPr>
        <w:t xml:space="preserve"> 国际金融</w:t>
      </w:r>
    </w:p>
    <w:p>
      <w:pPr>
        <w:ind w:left="1024" w:leftChars="1" w:right="-212" w:rightChars="-101" w:hanging="1022" w:hangingChars="487"/>
        <w:jc w:val="left"/>
        <w:rPr>
          <w:rFonts w:hint="eastAsia"/>
        </w:rPr>
      </w:pPr>
      <w:r>
        <w:rPr>
          <w:rFonts w:hint="eastAsia"/>
        </w:rPr>
        <w:t>MSc Investment Management 投资管理</w:t>
      </w:r>
    </w:p>
    <w:p>
      <w:pPr>
        <w:rPr>
          <w:rFonts w:hint="eastAsia"/>
        </w:rPr>
      </w:pPr>
      <w:r>
        <w:t>MSc Financial Technology (FinTech)</w:t>
      </w:r>
      <w:r>
        <w:rPr>
          <w:rFonts w:hint="eastAsia"/>
        </w:rPr>
        <w:t xml:space="preserve"> 金融科技</w:t>
      </w:r>
    </w:p>
    <w:p>
      <w:pPr>
        <w:pStyle w:val="13"/>
        <w:ind w:left="1024" w:leftChars="1" w:right="-212" w:rightChars="-101" w:hanging="1022" w:hangingChars="487"/>
        <w:jc w:val="left"/>
        <w:rPr>
          <w:rFonts w:ascii="Times New Roman" w:hAnsi="Times New Roman"/>
        </w:rPr>
      </w:pPr>
      <w:r>
        <w:rPr>
          <w:rFonts w:ascii="Times New Roman" w:hAnsi="Times New Roman"/>
          <w:color w:val="000000"/>
          <w:szCs w:val="21"/>
        </w:rPr>
        <w:t>MSc</w:t>
      </w:r>
      <w:r>
        <w:rPr>
          <w:rFonts w:ascii="Times New Roman" w:hAnsi="Times New Roman"/>
        </w:rPr>
        <w:t xml:space="preserve"> International Banking and Finance </w:t>
      </w:r>
      <w:r>
        <w:rPr>
          <w:rFonts w:ascii="Times New Roman"/>
        </w:rPr>
        <w:t>国际银行和金融</w:t>
      </w:r>
    </w:p>
    <w:p>
      <w:pPr>
        <w:ind w:left="1024" w:leftChars="1" w:right="-1050" w:rightChars="-500" w:hanging="1022" w:hangingChars="487"/>
        <w:jc w:val="left"/>
        <w:rPr>
          <w:rFonts w:hint="eastAsia"/>
          <w:i/>
          <w:color w:val="000000"/>
          <w:szCs w:val="21"/>
        </w:rPr>
      </w:pPr>
      <w:r>
        <w:rPr>
          <w:rFonts w:hint="eastAsia"/>
          <w:color w:val="000000"/>
          <w:szCs w:val="21"/>
        </w:rPr>
        <w:t xml:space="preserve">MSc </w:t>
      </w:r>
      <w:r>
        <w:rPr>
          <w:color w:val="000000"/>
          <w:szCs w:val="21"/>
        </w:rPr>
        <w:t>Strategic</w:t>
      </w:r>
      <w:r>
        <w:rPr>
          <w:rFonts w:hint="eastAsia"/>
          <w:color w:val="000000"/>
          <w:szCs w:val="21"/>
        </w:rPr>
        <w:t xml:space="preserve"> Marketing 战略市场营销 </w:t>
      </w:r>
      <w:r>
        <w:rPr>
          <w:color w:val="FF0000"/>
          <w:szCs w:val="21"/>
          <w:lang w:val="en-GB"/>
        </w:rPr>
        <w:t>（含三个月实习）</w:t>
      </w:r>
      <w:r>
        <w:rPr>
          <w:rFonts w:ascii="Calibri"/>
          <w:color w:val="00B0F0"/>
          <w:szCs w:val="21"/>
        </w:rPr>
        <w:t>（</w:t>
      </w:r>
      <w:r>
        <w:rPr>
          <w:rFonts w:ascii="Calibri" w:hAnsi="Calibri"/>
          <w:color w:val="00B0F0"/>
          <w:szCs w:val="21"/>
        </w:rPr>
        <w:t>CIM</w:t>
      </w:r>
      <w:r>
        <w:rPr>
          <w:rFonts w:ascii="Calibri"/>
          <w:color w:val="00B0F0"/>
          <w:szCs w:val="21"/>
        </w:rPr>
        <w:t>免考部分科目）</w:t>
      </w:r>
      <w:r>
        <w:rPr>
          <w:rFonts w:hint="eastAsia" w:ascii="Calibri"/>
          <w:color w:val="00B0F0"/>
          <w:szCs w:val="21"/>
        </w:rPr>
        <w:t>（全英排名第16位）</w:t>
      </w:r>
    </w:p>
    <w:p>
      <w:pPr>
        <w:ind w:left="850" w:leftChars="1" w:right="-764" w:rightChars="-364" w:hanging="848" w:hangingChars="404"/>
        <w:jc w:val="left"/>
        <w:rPr>
          <w:rFonts w:hint="eastAsia"/>
        </w:rPr>
      </w:pPr>
      <w:r>
        <w:rPr>
          <w:rFonts w:hint="eastAsia"/>
          <w:color w:val="000000"/>
          <w:szCs w:val="21"/>
        </w:rPr>
        <w:t xml:space="preserve">MSc International </w:t>
      </w:r>
      <w:r>
        <w:rPr>
          <w:color w:val="000000"/>
          <w:szCs w:val="21"/>
        </w:rPr>
        <w:t>Tourism</w:t>
      </w:r>
      <w:r>
        <w:rPr>
          <w:rFonts w:hint="eastAsia"/>
          <w:color w:val="000000"/>
          <w:szCs w:val="21"/>
        </w:rPr>
        <w:t xml:space="preserve"> Management 国际旅游管理</w:t>
      </w:r>
      <w:r>
        <w:rPr>
          <w:color w:val="FF0000"/>
          <w:szCs w:val="21"/>
          <w:lang w:val="en-GB"/>
        </w:rPr>
        <w:t>（含三个月实习）</w:t>
      </w:r>
    </w:p>
    <w:p>
      <w:pPr>
        <w:pStyle w:val="13"/>
        <w:numPr>
          <w:ilvl w:val="0"/>
          <w:numId w:val="8"/>
        </w:numPr>
        <w:ind w:left="284" w:right="-212" w:rightChars="-101" w:hanging="282" w:firstLineChars="0"/>
        <w:jc w:val="left"/>
        <w:rPr>
          <w:rFonts w:ascii="Times New Roman" w:hAnsi="Times New Roman"/>
          <w:b/>
        </w:rPr>
      </w:pPr>
      <w:r>
        <w:rPr>
          <w:rFonts w:hint="eastAsia" w:ascii="Times New Roman"/>
          <w:b/>
        </w:rPr>
        <w:t>以下专业也可接受非商科专业背景的学生申请：</w:t>
      </w:r>
    </w:p>
    <w:p>
      <w:pPr>
        <w:ind w:left="1024" w:leftChars="1" w:right="-212" w:rightChars="-101" w:hanging="1022" w:hangingChars="487"/>
        <w:jc w:val="left"/>
        <w:rPr>
          <w:rFonts w:hint="eastAsia"/>
          <w:color w:val="000000"/>
          <w:szCs w:val="21"/>
        </w:rPr>
      </w:pPr>
      <w:r>
        <w:rPr>
          <w:rFonts w:hint="eastAsia"/>
          <w:color w:val="000000"/>
          <w:szCs w:val="21"/>
        </w:rPr>
        <w:t>MSc</w:t>
      </w:r>
      <w:r>
        <w:rPr>
          <w:color w:val="000000"/>
          <w:szCs w:val="21"/>
        </w:rPr>
        <w:t xml:space="preserve"> </w:t>
      </w:r>
      <w:r>
        <w:rPr>
          <w:rFonts w:hint="eastAsia"/>
          <w:color w:val="000000"/>
          <w:szCs w:val="21"/>
        </w:rPr>
        <w:t xml:space="preserve">International </w:t>
      </w:r>
      <w:r>
        <w:rPr>
          <w:color w:val="000000"/>
          <w:szCs w:val="21"/>
        </w:rPr>
        <w:t>Accounting and Finance</w:t>
      </w:r>
      <w:r>
        <w:rPr>
          <w:rFonts w:hint="eastAsia"/>
          <w:color w:val="000000"/>
          <w:szCs w:val="21"/>
        </w:rPr>
        <w:t xml:space="preserve"> 国际会计和金融 </w:t>
      </w:r>
      <w:r>
        <w:rPr>
          <w:rFonts w:hint="eastAsia"/>
          <w:color w:val="00B0F0"/>
          <w:szCs w:val="21"/>
        </w:rPr>
        <w:t>（ACCA可免考7门基础科目）</w:t>
      </w:r>
    </w:p>
    <w:p>
      <w:pPr>
        <w:ind w:left="1024" w:leftChars="1" w:right="-212" w:rightChars="-101" w:hanging="1022" w:hangingChars="487"/>
        <w:jc w:val="left"/>
        <w:rPr>
          <w:rFonts w:hint="eastAsia"/>
          <w:color w:val="000000"/>
          <w:szCs w:val="21"/>
        </w:rPr>
      </w:pPr>
      <w:r>
        <w:rPr>
          <w:rFonts w:hint="eastAsia"/>
          <w:color w:val="000000"/>
          <w:szCs w:val="21"/>
        </w:rPr>
        <w:t>MSc International Financial Management 国际财务管理</w:t>
      </w:r>
    </w:p>
    <w:p>
      <w:pPr>
        <w:ind w:left="1024" w:leftChars="1" w:right="-212" w:rightChars="-101" w:hanging="1022" w:hangingChars="487"/>
        <w:jc w:val="left"/>
        <w:rPr>
          <w:rFonts w:hint="eastAsia"/>
          <w:szCs w:val="21"/>
        </w:rPr>
      </w:pPr>
      <w:r>
        <w:rPr>
          <w:rFonts w:hint="eastAsia"/>
          <w:color w:val="000000"/>
          <w:szCs w:val="21"/>
        </w:rPr>
        <w:t>M</w:t>
      </w:r>
      <w:r>
        <w:rPr>
          <w:rFonts w:hint="eastAsia"/>
          <w:szCs w:val="21"/>
        </w:rPr>
        <w:t>Sc Finance and Big Data Analytics 金融和大数据分析</w:t>
      </w:r>
    </w:p>
    <w:p>
      <w:pPr>
        <w:rPr>
          <w:rFonts w:hint="eastAsia"/>
          <w:szCs w:val="21"/>
        </w:rPr>
      </w:pPr>
      <w:r>
        <w:t>MSc Human Resource Management</w:t>
      </w:r>
      <w:r>
        <w:rPr>
          <w:rFonts w:hint="eastAsia"/>
        </w:rPr>
        <w:t xml:space="preserve"> 人力资源管理</w:t>
      </w:r>
    </w:p>
    <w:p>
      <w:pPr>
        <w:ind w:left="1024" w:leftChars="1" w:right="-764" w:rightChars="-364" w:hanging="1022" w:hangingChars="487"/>
        <w:jc w:val="left"/>
        <w:rPr>
          <w:rFonts w:hint="eastAsia"/>
          <w:szCs w:val="21"/>
        </w:rPr>
      </w:pPr>
      <w:r>
        <w:rPr>
          <w:rFonts w:hint="eastAsia"/>
          <w:szCs w:val="21"/>
        </w:rPr>
        <w:t>MSc</w:t>
      </w:r>
      <w:r>
        <w:rPr>
          <w:szCs w:val="21"/>
        </w:rPr>
        <w:t xml:space="preserve"> Management</w:t>
      </w:r>
      <w:r>
        <w:rPr>
          <w:rFonts w:hint="eastAsia"/>
          <w:szCs w:val="21"/>
        </w:rPr>
        <w:t xml:space="preserve"> 管理学</w:t>
      </w:r>
    </w:p>
    <w:p>
      <w:r>
        <w:t>MSc Management (Sport)</w:t>
      </w:r>
      <w:r>
        <w:rPr>
          <w:rFonts w:hint="eastAsia"/>
        </w:rPr>
        <w:t xml:space="preserve"> </w:t>
      </w:r>
      <w:r>
        <w:rPr>
          <w:rFonts w:hint="eastAsia"/>
          <w:szCs w:val="21"/>
        </w:rPr>
        <w:t>管理学(</w:t>
      </w:r>
      <w:r>
        <w:rPr>
          <w:rFonts w:hint="eastAsia"/>
        </w:rPr>
        <w:t>体育)</w:t>
      </w:r>
    </w:p>
    <w:p>
      <w:pPr>
        <w:ind w:left="1024" w:leftChars="1" w:right="-764" w:rightChars="-364" w:hanging="1022" w:hangingChars="487"/>
        <w:jc w:val="left"/>
        <w:rPr>
          <w:rFonts w:hint="eastAsia"/>
          <w:szCs w:val="21"/>
        </w:rPr>
      </w:pPr>
      <w:r>
        <w:rPr>
          <w:rFonts w:hint="eastAsia"/>
          <w:szCs w:val="21"/>
        </w:rPr>
        <w:t>MSc</w:t>
      </w:r>
      <w:r>
        <w:rPr>
          <w:szCs w:val="21"/>
        </w:rPr>
        <w:t xml:space="preserve"> Management </w:t>
      </w:r>
      <w:r>
        <w:rPr>
          <w:rFonts w:hint="eastAsia"/>
          <w:szCs w:val="21"/>
        </w:rPr>
        <w:t>(</w:t>
      </w:r>
      <w:r>
        <w:rPr>
          <w:szCs w:val="21"/>
        </w:rPr>
        <w:t>Finance)</w:t>
      </w:r>
      <w:r>
        <w:rPr>
          <w:rFonts w:hint="eastAsia"/>
          <w:szCs w:val="21"/>
        </w:rPr>
        <w:t xml:space="preserve"> 管理学(金融)</w:t>
      </w:r>
    </w:p>
    <w:p>
      <w:pPr>
        <w:ind w:left="1024" w:leftChars="1" w:right="-764" w:rightChars="-364" w:hanging="1022" w:hangingChars="487"/>
        <w:jc w:val="left"/>
        <w:rPr>
          <w:rFonts w:hint="eastAsia"/>
          <w:szCs w:val="21"/>
        </w:rPr>
      </w:pPr>
      <w:r>
        <w:rPr>
          <w:rFonts w:hint="eastAsia"/>
          <w:szCs w:val="21"/>
        </w:rPr>
        <w:t>MSc</w:t>
      </w:r>
      <w:r>
        <w:rPr>
          <w:szCs w:val="21"/>
        </w:rPr>
        <w:t xml:space="preserve"> Management </w:t>
      </w:r>
      <w:r>
        <w:rPr>
          <w:rFonts w:hint="eastAsia"/>
          <w:szCs w:val="21"/>
        </w:rPr>
        <w:t>(</w:t>
      </w:r>
      <w:r>
        <w:rPr>
          <w:szCs w:val="21"/>
        </w:rPr>
        <w:t>Marketing)</w:t>
      </w:r>
      <w:r>
        <w:rPr>
          <w:rFonts w:hint="eastAsia"/>
          <w:szCs w:val="21"/>
        </w:rPr>
        <w:t xml:space="preserve"> 管理学(市场营销)</w:t>
      </w:r>
      <w:r>
        <w:rPr>
          <w:rFonts w:ascii="Calibri"/>
          <w:color w:val="00B0F0"/>
          <w:szCs w:val="21"/>
        </w:rPr>
        <w:t xml:space="preserve"> （</w:t>
      </w:r>
      <w:r>
        <w:rPr>
          <w:rFonts w:ascii="Calibri" w:hAnsi="Calibri"/>
          <w:color w:val="00B0F0"/>
          <w:szCs w:val="21"/>
        </w:rPr>
        <w:t>CIM</w:t>
      </w:r>
      <w:r>
        <w:rPr>
          <w:rFonts w:ascii="Calibri"/>
          <w:color w:val="00B0F0"/>
          <w:szCs w:val="21"/>
        </w:rPr>
        <w:t>免考部分科目）</w:t>
      </w:r>
    </w:p>
    <w:p>
      <w:pPr>
        <w:rPr>
          <w:rFonts w:hint="eastAsia"/>
          <w:szCs w:val="21"/>
        </w:rPr>
      </w:pPr>
      <w:r>
        <w:t>MSc Management (Digital Business)</w:t>
      </w:r>
      <w:r>
        <w:rPr>
          <w:rFonts w:hint="eastAsia"/>
          <w:szCs w:val="21"/>
        </w:rPr>
        <w:t xml:space="preserve"> 管理学(数字商务)</w:t>
      </w:r>
    </w:p>
    <w:p>
      <w:pPr>
        <w:rPr>
          <w:rFonts w:hint="eastAsia"/>
          <w:szCs w:val="21"/>
        </w:rPr>
      </w:pPr>
      <w:r>
        <w:rPr>
          <w:rFonts w:hint="eastAsia"/>
          <w:szCs w:val="21"/>
        </w:rPr>
        <w:t>MSc</w:t>
      </w:r>
      <w:r>
        <w:rPr>
          <w:szCs w:val="21"/>
        </w:rPr>
        <w:t xml:space="preserve"> Management </w:t>
      </w:r>
      <w:r>
        <w:rPr>
          <w:rFonts w:hint="eastAsia"/>
          <w:szCs w:val="21"/>
        </w:rPr>
        <w:t>(</w:t>
      </w:r>
      <w:r>
        <w:t>Business Analytics </w:t>
      </w:r>
      <w:r>
        <w:rPr>
          <w:rFonts w:hint="eastAsia"/>
        </w:rPr>
        <w:t xml:space="preserve">) </w:t>
      </w:r>
      <w:r>
        <w:rPr>
          <w:rFonts w:hint="eastAsia"/>
          <w:szCs w:val="21"/>
        </w:rPr>
        <w:t>管理学(商业分析)</w:t>
      </w:r>
    </w:p>
    <w:p>
      <w:pPr>
        <w:rPr>
          <w:rFonts w:hint="eastAsia"/>
        </w:rPr>
      </w:pPr>
      <w:r>
        <w:t>MSc Management (Software Technology)</w:t>
      </w:r>
      <w:r>
        <w:rPr>
          <w:rFonts w:hint="eastAsia"/>
          <w:szCs w:val="21"/>
        </w:rPr>
        <w:t xml:space="preserve"> 管理学(软件技术)</w:t>
      </w:r>
    </w:p>
    <w:p>
      <w:pPr>
        <w:ind w:right="-212" w:rightChars="-101"/>
        <w:jc w:val="left"/>
        <w:rPr>
          <w:rFonts w:hint="eastAsia"/>
          <w:szCs w:val="21"/>
        </w:rPr>
      </w:pPr>
      <w:r>
        <w:rPr>
          <w:rFonts w:hint="eastAsia"/>
          <w:szCs w:val="21"/>
        </w:rPr>
        <w:t>MSc</w:t>
      </w:r>
      <w:r>
        <w:rPr>
          <w:szCs w:val="21"/>
        </w:rPr>
        <w:t xml:space="preserve"> Management </w:t>
      </w:r>
      <w:r>
        <w:rPr>
          <w:rFonts w:hint="eastAsia"/>
          <w:szCs w:val="21"/>
        </w:rPr>
        <w:t>(</w:t>
      </w:r>
      <w:r>
        <w:rPr>
          <w:szCs w:val="21"/>
        </w:rPr>
        <w:t>International</w:t>
      </w:r>
      <w:r>
        <w:rPr>
          <w:rFonts w:hint="eastAsia"/>
          <w:szCs w:val="21"/>
        </w:rPr>
        <w:t xml:space="preserve"> Management</w:t>
      </w:r>
      <w:r>
        <w:rPr>
          <w:szCs w:val="21"/>
        </w:rPr>
        <w:t>)</w:t>
      </w:r>
      <w:r>
        <w:rPr>
          <w:rFonts w:hint="eastAsia"/>
          <w:szCs w:val="21"/>
        </w:rPr>
        <w:t xml:space="preserve"> 管理学(国际管理)</w:t>
      </w:r>
    </w:p>
    <w:p>
      <w:pPr>
        <w:rPr>
          <w:rFonts w:hint="eastAsia"/>
          <w:szCs w:val="21"/>
        </w:rPr>
      </w:pPr>
      <w:r>
        <w:rPr>
          <w:rFonts w:hint="eastAsia"/>
          <w:szCs w:val="21"/>
        </w:rPr>
        <w:t>MSc</w:t>
      </w:r>
      <w:r>
        <w:t xml:space="preserve"> Management</w:t>
      </w:r>
      <w:r>
        <w:rPr>
          <w:szCs w:val="21"/>
        </w:rPr>
        <w:t xml:space="preserve"> (</w:t>
      </w:r>
      <w:r>
        <w:t>Enterprise and Innovation</w:t>
      </w:r>
      <w:r>
        <w:rPr>
          <w:szCs w:val="21"/>
        </w:rPr>
        <w:t xml:space="preserve">) </w:t>
      </w:r>
      <w:r>
        <w:rPr>
          <w:rFonts w:hint="eastAsia"/>
          <w:szCs w:val="21"/>
        </w:rPr>
        <w:t>管理学</w:t>
      </w:r>
      <w:r>
        <w:rPr>
          <w:szCs w:val="21"/>
        </w:rPr>
        <w:t>(</w:t>
      </w:r>
      <w:r>
        <w:rPr>
          <w:rFonts w:hint="eastAsia"/>
          <w:szCs w:val="21"/>
        </w:rPr>
        <w:t>企业</w:t>
      </w:r>
      <w:r>
        <w:rPr>
          <w:szCs w:val="21"/>
        </w:rPr>
        <w:t>与创新)</w:t>
      </w:r>
    </w:p>
    <w:p>
      <w:pPr>
        <w:ind w:left="1024" w:leftChars="1" w:right="69" w:rightChars="33" w:hanging="1022" w:hangingChars="487"/>
        <w:jc w:val="left"/>
        <w:rPr>
          <w:rFonts w:hint="eastAsia"/>
          <w:szCs w:val="21"/>
        </w:rPr>
      </w:pPr>
      <w:r>
        <w:rPr>
          <w:rFonts w:hint="eastAsia"/>
          <w:szCs w:val="21"/>
        </w:rPr>
        <w:t>MSc</w:t>
      </w:r>
      <w:r>
        <w:rPr>
          <w:szCs w:val="21"/>
        </w:rPr>
        <w:t xml:space="preserve"> Management </w:t>
      </w:r>
      <w:r>
        <w:rPr>
          <w:rFonts w:hint="eastAsia"/>
          <w:szCs w:val="21"/>
        </w:rPr>
        <w:t>(</w:t>
      </w:r>
      <w:r>
        <w:t>Human Resources Management</w:t>
      </w:r>
      <w:r>
        <w:rPr>
          <w:szCs w:val="21"/>
        </w:rPr>
        <w:t>)</w:t>
      </w:r>
      <w:r>
        <w:rPr>
          <w:rFonts w:hint="eastAsia"/>
          <w:szCs w:val="21"/>
        </w:rPr>
        <w:t xml:space="preserve"> 管理学(人力资源管理)</w:t>
      </w:r>
    </w:p>
    <w:p>
      <w:pPr>
        <w:ind w:left="1024" w:leftChars="1" w:right="-907" w:rightChars="-432" w:hanging="1022" w:hangingChars="487"/>
        <w:jc w:val="left"/>
        <w:rPr>
          <w:rFonts w:hint="eastAsia"/>
          <w:color w:val="000000"/>
          <w:szCs w:val="21"/>
        </w:rPr>
      </w:pPr>
      <w:r>
        <w:rPr>
          <w:rFonts w:hint="eastAsia"/>
          <w:szCs w:val="21"/>
        </w:rPr>
        <w:t>MSc</w:t>
      </w:r>
      <w:r>
        <w:rPr>
          <w:szCs w:val="21"/>
        </w:rPr>
        <w:t xml:space="preserve"> Management </w:t>
      </w:r>
      <w:r>
        <w:rPr>
          <w:rFonts w:hint="eastAsia"/>
          <w:szCs w:val="21"/>
        </w:rPr>
        <w:t>(</w:t>
      </w:r>
      <w:r>
        <w:t>Operations</w:t>
      </w:r>
      <w:r>
        <w:rPr>
          <w:rFonts w:hint="eastAsia"/>
        </w:rPr>
        <w:t xml:space="preserve"> </w:t>
      </w:r>
      <w:r>
        <w:t>and Supply Management</w:t>
      </w:r>
      <w:r>
        <w:rPr>
          <w:color w:val="000000"/>
          <w:szCs w:val="21"/>
        </w:rPr>
        <w:t>)</w:t>
      </w:r>
      <w:r>
        <w:rPr>
          <w:rFonts w:hint="eastAsia"/>
          <w:color w:val="000000"/>
          <w:szCs w:val="21"/>
        </w:rPr>
        <w:t xml:space="preserve"> 管理学(运营和供应链管理)</w:t>
      </w:r>
    </w:p>
    <w:p>
      <w:pPr>
        <w:jc w:val="left"/>
        <w:rPr>
          <w:rFonts w:hint="eastAsia"/>
          <w:color w:val="7030A0"/>
          <w:sz w:val="24"/>
        </w:rPr>
      </w:pPr>
    </w:p>
    <w:p>
      <w:pPr>
        <w:jc w:val="left"/>
        <w:rPr>
          <w:rFonts w:hint="eastAsia"/>
          <w:b/>
          <w:color w:val="7030A0"/>
          <w:sz w:val="24"/>
        </w:rPr>
      </w:pPr>
      <w:r>
        <w:rPr>
          <w:b/>
          <w:color w:val="7030A0"/>
          <w:sz w:val="24"/>
        </w:rPr>
        <w:t>经济学</w:t>
      </w:r>
      <w:r>
        <w:rPr>
          <w:color w:val="00B0F0"/>
          <w:szCs w:val="21"/>
        </w:rPr>
        <w:t>（英国</w:t>
      </w:r>
      <w:r>
        <w:rPr>
          <w:color w:val="00B0F0"/>
        </w:rPr>
        <w:t>官方REF学术研究排名第</w:t>
      </w:r>
      <w:r>
        <w:rPr>
          <w:rFonts w:hint="eastAsia"/>
          <w:color w:val="00B0F0"/>
        </w:rPr>
        <w:t>22</w:t>
      </w:r>
      <w:r>
        <w:rPr>
          <w:color w:val="00B0F0"/>
        </w:rPr>
        <w:t>位）</w:t>
      </w:r>
    </w:p>
    <w:p>
      <w:pPr>
        <w:jc w:val="left"/>
        <w:rPr>
          <w:rFonts w:hint="eastAsia"/>
          <w:b/>
          <w:color w:val="000000"/>
          <w:szCs w:val="21"/>
        </w:rPr>
      </w:pPr>
      <w:r>
        <w:rPr>
          <w:rFonts w:hint="eastAsia"/>
          <w:b/>
          <w:color w:val="000000"/>
          <w:szCs w:val="21"/>
        </w:rPr>
        <w:t>本科</w:t>
      </w:r>
    </w:p>
    <w:p>
      <w:pPr>
        <w:numPr>
          <w:ilvl w:val="0"/>
          <w:numId w:val="7"/>
        </w:numPr>
        <w:ind w:right="-624" w:rightChars="-297"/>
        <w:jc w:val="left"/>
        <w:rPr>
          <w:rFonts w:hint="eastAsia"/>
          <w:color w:val="00B0F0"/>
        </w:rPr>
      </w:pPr>
      <w:r>
        <w:rPr>
          <w:rFonts w:hint="eastAsia"/>
          <w:b/>
          <w:color w:val="000000"/>
          <w:szCs w:val="21"/>
        </w:rPr>
        <w:t>以下本科专业均开设有三年制课程、含一年带薪实习的四年制课程</w:t>
      </w:r>
    </w:p>
    <w:p>
      <w:pPr>
        <w:pStyle w:val="12"/>
        <w:ind w:right="-764" w:rightChars="-364" w:firstLine="0" w:firstLineChars="0"/>
        <w:jc w:val="left"/>
        <w:rPr>
          <w:rFonts w:ascii="Times New Roman" w:hAnsi="Times New Roman"/>
          <w:color w:val="000000"/>
          <w:szCs w:val="21"/>
        </w:rPr>
      </w:pPr>
      <w:r>
        <w:rPr>
          <w:rFonts w:ascii="Times New Roman" w:hAnsi="Times New Roman"/>
          <w:color w:val="000000"/>
          <w:szCs w:val="21"/>
        </w:rPr>
        <w:t>BSc Economics 经济学</w:t>
      </w:r>
    </w:p>
    <w:p>
      <w:pPr>
        <w:ind w:right="-764" w:rightChars="-364"/>
        <w:jc w:val="left"/>
        <w:rPr>
          <w:color w:val="000000"/>
          <w:szCs w:val="21"/>
        </w:rPr>
      </w:pPr>
      <w:r>
        <w:rPr>
          <w:color w:val="000000"/>
          <w:szCs w:val="21"/>
        </w:rPr>
        <w:t xml:space="preserve">BSc Economics </w:t>
      </w:r>
      <w:r>
        <w:rPr>
          <w:rFonts w:hint="eastAsia"/>
          <w:color w:val="000000"/>
          <w:szCs w:val="21"/>
        </w:rPr>
        <w:t xml:space="preserve">and </w:t>
      </w:r>
      <w:r>
        <w:rPr>
          <w:color w:val="000000"/>
          <w:szCs w:val="21"/>
        </w:rPr>
        <w:t>Business 商业经济学</w:t>
      </w:r>
    </w:p>
    <w:p>
      <w:pPr>
        <w:ind w:right="-764" w:rightChars="-364"/>
        <w:jc w:val="left"/>
        <w:rPr>
          <w:rFonts w:hint="eastAsia"/>
          <w:color w:val="000000"/>
          <w:szCs w:val="21"/>
        </w:rPr>
      </w:pPr>
      <w:r>
        <w:rPr>
          <w:color w:val="000000"/>
          <w:szCs w:val="21"/>
        </w:rPr>
        <w:t>B</w:t>
      </w:r>
      <w:r>
        <w:rPr>
          <w:rFonts w:hint="eastAsia"/>
          <w:color w:val="000000"/>
          <w:szCs w:val="21"/>
        </w:rPr>
        <w:t>Sc</w:t>
      </w:r>
      <w:r>
        <w:rPr>
          <w:color w:val="000000"/>
          <w:szCs w:val="21"/>
        </w:rPr>
        <w:t xml:space="preserve"> Economics</w:t>
      </w:r>
      <w:r>
        <w:rPr>
          <w:rFonts w:hint="eastAsia"/>
          <w:color w:val="000000"/>
          <w:szCs w:val="21"/>
        </w:rPr>
        <w:t xml:space="preserve"> and Finance</w:t>
      </w:r>
      <w:r>
        <w:rPr>
          <w:color w:val="000000"/>
          <w:szCs w:val="21"/>
        </w:rPr>
        <w:t>金融经济学</w:t>
      </w:r>
    </w:p>
    <w:p>
      <w:pPr>
        <w:ind w:right="-764" w:rightChars="-364"/>
        <w:jc w:val="left"/>
        <w:rPr>
          <w:rFonts w:hint="eastAsia" w:ascii="Calibri" w:hAnsi="Calibri"/>
          <w:b/>
          <w:color w:val="000000"/>
          <w:szCs w:val="21"/>
        </w:rPr>
      </w:pPr>
      <w:r>
        <w:rPr>
          <w:rFonts w:hint="eastAsia" w:ascii="Calibri" w:hAnsi="Calibri"/>
          <w:b/>
          <w:color w:val="000000"/>
          <w:szCs w:val="21"/>
        </w:rPr>
        <w:t>硕士</w:t>
      </w:r>
    </w:p>
    <w:p>
      <w:pPr>
        <w:rPr>
          <w:rFonts w:hint="eastAsia"/>
        </w:rPr>
      </w:pPr>
      <w:r>
        <w:t>MSc Economics</w:t>
      </w:r>
      <w:r>
        <w:rPr>
          <w:rFonts w:hint="eastAsia"/>
        </w:rPr>
        <w:t xml:space="preserve"> 经济学</w:t>
      </w:r>
    </w:p>
    <w:p>
      <w:pPr>
        <w:rPr>
          <w:rFonts w:hint="eastAsia"/>
        </w:rPr>
      </w:pPr>
      <w:r>
        <w:t xml:space="preserve">MSc Economics </w:t>
      </w:r>
      <w:r>
        <w:rPr>
          <w:rFonts w:hint="eastAsia"/>
        </w:rPr>
        <w:t xml:space="preserve">and </w:t>
      </w:r>
      <w:r>
        <w:t>Finance</w:t>
      </w:r>
      <w:r>
        <w:rPr>
          <w:rFonts w:hint="eastAsia"/>
        </w:rPr>
        <w:t xml:space="preserve"> 金融经济学</w:t>
      </w:r>
    </w:p>
    <w:p>
      <w:pPr>
        <w:rPr>
          <w:rFonts w:hint="eastAsia"/>
        </w:rPr>
      </w:pPr>
    </w:p>
    <w:p>
      <w:pPr>
        <w:ind w:right="-1474" w:rightChars="-702"/>
        <w:jc w:val="left"/>
        <w:rPr>
          <w:rFonts w:hint="eastAsia"/>
          <w:color w:val="00B0F0"/>
          <w:szCs w:val="21"/>
        </w:rPr>
      </w:pPr>
      <w:r>
        <w:rPr>
          <w:b/>
          <w:color w:val="7030A0"/>
          <w:sz w:val="24"/>
        </w:rPr>
        <w:t>新闻传媒学</w:t>
      </w:r>
      <w:r>
        <w:rPr>
          <w:rFonts w:hint="eastAsia"/>
          <w:b/>
          <w:color w:val="7030A0"/>
          <w:sz w:val="24"/>
        </w:rPr>
        <w:t xml:space="preserve"> </w:t>
      </w:r>
      <w:r>
        <w:rPr>
          <w:rFonts w:hint="eastAsia"/>
          <w:color w:val="00B0F0"/>
          <w:szCs w:val="21"/>
        </w:rPr>
        <w:t>（</w:t>
      </w:r>
      <w:r>
        <w:rPr>
          <w:rFonts w:hint="eastAsia" w:ascii="Calibri" w:hAnsi="宋体" w:cs="Calibri"/>
          <w:color w:val="00B0F0"/>
          <w:szCs w:val="21"/>
        </w:rPr>
        <w:t>卫报</w:t>
      </w:r>
      <w:r>
        <w:rPr>
          <w:rFonts w:ascii="Calibri" w:hAnsi="宋体" w:cs="Calibri"/>
          <w:color w:val="00B0F0"/>
          <w:szCs w:val="21"/>
        </w:rPr>
        <w:t>全英排名第</w:t>
      </w:r>
      <w:r>
        <w:rPr>
          <w:rFonts w:hint="eastAsia" w:ascii="Calibri" w:hAnsi="Calibri" w:cs="Calibri"/>
          <w:color w:val="00B0F0"/>
          <w:szCs w:val="21"/>
        </w:rPr>
        <w:t>5</w:t>
      </w:r>
      <w:r>
        <w:rPr>
          <w:rFonts w:ascii="Calibri" w:hAnsi="宋体" w:cs="Calibri"/>
          <w:color w:val="00B0F0"/>
          <w:szCs w:val="21"/>
        </w:rPr>
        <w:t>位</w:t>
      </w:r>
      <w:r>
        <w:rPr>
          <w:rFonts w:hint="eastAsia" w:ascii="Calibri" w:hAnsi="宋体" w:cs="Calibri"/>
          <w:color w:val="00B0F0"/>
          <w:szCs w:val="21"/>
        </w:rPr>
        <w:t>，</w:t>
      </w:r>
      <w:r>
        <w:rPr>
          <w:rFonts w:hint="eastAsia" w:hAnsi="宋体"/>
          <w:color w:val="00B0F0"/>
          <w:szCs w:val="21"/>
        </w:rPr>
        <w:t>学生满意度100%</w:t>
      </w:r>
      <w:r>
        <w:rPr>
          <w:rFonts w:hint="eastAsia"/>
          <w:color w:val="00B0F0"/>
          <w:szCs w:val="21"/>
        </w:rPr>
        <w:t>）</w:t>
      </w:r>
    </w:p>
    <w:p>
      <w:pPr>
        <w:ind w:right="-764" w:rightChars="-364"/>
        <w:jc w:val="left"/>
        <w:rPr>
          <w:rFonts w:hint="eastAsia" w:ascii="Calibri" w:hAnsi="Calibri"/>
          <w:b/>
        </w:rPr>
      </w:pPr>
      <w:r>
        <w:rPr>
          <w:rFonts w:hint="eastAsia" w:ascii="Calibri" w:hAnsi="Calibri"/>
          <w:b/>
        </w:rPr>
        <w:t>本科</w:t>
      </w:r>
    </w:p>
    <w:p>
      <w:pPr>
        <w:ind w:right="-764" w:rightChars="-364"/>
        <w:jc w:val="left"/>
        <w:rPr>
          <w:rFonts w:hint="eastAsia"/>
          <w:szCs w:val="21"/>
        </w:rPr>
      </w:pPr>
      <w:r>
        <w:rPr>
          <w:rFonts w:hint="eastAsia"/>
          <w:szCs w:val="21"/>
        </w:rPr>
        <w:t xml:space="preserve">BA </w:t>
      </w:r>
      <w:r>
        <w:rPr>
          <w:szCs w:val="21"/>
        </w:rPr>
        <w:t>Media and Communication</w:t>
      </w:r>
      <w:r>
        <w:rPr>
          <w:rFonts w:hint="eastAsia"/>
          <w:szCs w:val="21"/>
        </w:rPr>
        <w:t xml:space="preserve"> 媒体与传播</w:t>
      </w:r>
    </w:p>
    <w:p>
      <w:pPr>
        <w:ind w:right="34" w:rightChars="16"/>
        <w:jc w:val="left"/>
        <w:rPr>
          <w:rFonts w:hint="eastAsia"/>
          <w:color w:val="000000"/>
          <w:szCs w:val="21"/>
        </w:rPr>
      </w:pPr>
      <w:r>
        <w:rPr>
          <w:rFonts w:hint="eastAsia"/>
          <w:color w:val="000000"/>
          <w:szCs w:val="21"/>
        </w:rPr>
        <w:t>BA Public Relations and Media 公共关系与媒体</w:t>
      </w:r>
    </w:p>
    <w:p>
      <w:pPr>
        <w:ind w:right="-764" w:rightChars="-364"/>
        <w:jc w:val="left"/>
        <w:rPr>
          <w:rFonts w:hint="eastAsia"/>
          <w:szCs w:val="21"/>
        </w:rPr>
      </w:pPr>
      <w:r>
        <w:rPr>
          <w:szCs w:val="21"/>
        </w:rPr>
        <w:t>BA Journalism, Media and Communications新闻</w:t>
      </w:r>
      <w:r>
        <w:rPr>
          <w:rFonts w:hint="eastAsia"/>
          <w:szCs w:val="21"/>
        </w:rPr>
        <w:t>、媒体与传播</w:t>
      </w:r>
    </w:p>
    <w:p>
      <w:pPr>
        <w:jc w:val="left"/>
        <w:rPr>
          <w:szCs w:val="21"/>
        </w:rPr>
      </w:pPr>
      <w:r>
        <w:rPr>
          <w:rFonts w:hint="eastAsia" w:ascii="Calibri" w:hAnsi="Calibri"/>
          <w:b/>
        </w:rPr>
        <w:t>硕士</w:t>
      </w:r>
    </w:p>
    <w:p>
      <w:pPr>
        <w:ind w:right="-764" w:rightChars="-364"/>
        <w:jc w:val="left"/>
        <w:rPr>
          <w:rFonts w:hint="eastAsia"/>
          <w:szCs w:val="21"/>
        </w:rPr>
      </w:pPr>
      <w:r>
        <w:rPr>
          <w:rFonts w:hint="eastAsia"/>
          <w:szCs w:val="21"/>
        </w:rPr>
        <w:t>MA</w:t>
      </w:r>
      <w:r>
        <w:rPr>
          <w:szCs w:val="21"/>
        </w:rPr>
        <w:t xml:space="preserve"> Digital Media</w:t>
      </w:r>
      <w:r>
        <w:rPr>
          <w:rFonts w:hint="eastAsia"/>
          <w:szCs w:val="21"/>
        </w:rPr>
        <w:t xml:space="preserve"> 数字媒体</w:t>
      </w:r>
    </w:p>
    <w:p>
      <w:pPr>
        <w:ind w:right="-764" w:rightChars="-364"/>
        <w:jc w:val="left"/>
        <w:rPr>
          <w:szCs w:val="21"/>
        </w:rPr>
      </w:pPr>
      <w:r>
        <w:rPr>
          <w:rFonts w:hint="eastAsia"/>
          <w:szCs w:val="21"/>
        </w:rPr>
        <w:t>MA International</w:t>
      </w:r>
      <w:r>
        <w:rPr>
          <w:szCs w:val="21"/>
        </w:rPr>
        <w:t xml:space="preserve"> Journalism</w:t>
      </w:r>
      <w:r>
        <w:rPr>
          <w:rFonts w:hint="eastAsia"/>
          <w:szCs w:val="21"/>
        </w:rPr>
        <w:t xml:space="preserve"> 国际新闻学</w:t>
      </w:r>
    </w:p>
    <w:p>
      <w:pPr>
        <w:jc w:val="left"/>
        <w:rPr>
          <w:szCs w:val="21"/>
        </w:rPr>
      </w:pPr>
      <w:r>
        <w:t>MA Sports Communication and Journalism</w:t>
      </w:r>
      <w:r>
        <w:rPr>
          <w:rFonts w:hint="eastAsia"/>
        </w:rPr>
        <w:t xml:space="preserve"> 体育传播与新闻学</w:t>
      </w:r>
    </w:p>
    <w:p>
      <w:pPr>
        <w:jc w:val="left"/>
        <w:rPr>
          <w:rFonts w:hint="eastAsia"/>
          <w:szCs w:val="21"/>
        </w:rPr>
      </w:pPr>
      <w:r>
        <w:rPr>
          <w:rFonts w:hint="eastAsia"/>
          <w:szCs w:val="21"/>
        </w:rPr>
        <w:t>MA</w:t>
      </w:r>
      <w:r>
        <w:rPr>
          <w:szCs w:val="21"/>
        </w:rPr>
        <w:t xml:space="preserve"> Communication, Media Practice and PR</w:t>
      </w:r>
      <w:r>
        <w:rPr>
          <w:rFonts w:hint="eastAsia"/>
          <w:szCs w:val="21"/>
        </w:rPr>
        <w:t xml:space="preserve"> 媒体实践和公共关系</w:t>
      </w:r>
    </w:p>
    <w:p>
      <w:pPr>
        <w:jc w:val="left"/>
        <w:rPr>
          <w:rFonts w:hint="eastAsia"/>
          <w:szCs w:val="21"/>
        </w:rPr>
      </w:pPr>
    </w:p>
    <w:p>
      <w:pPr>
        <w:pStyle w:val="12"/>
        <w:ind w:left="38" w:firstLine="0" w:firstLineChars="0"/>
        <w:jc w:val="left"/>
        <w:rPr>
          <w:rFonts w:ascii="Times New Roman" w:hAnsi="Times New Roman"/>
          <w:b/>
          <w:color w:val="00B0F0"/>
          <w:szCs w:val="21"/>
        </w:rPr>
      </w:pPr>
      <w:r>
        <w:rPr>
          <w:rFonts w:ascii="Times New Roman" w:hAnsi="Times New Roman"/>
          <w:b/>
          <w:color w:val="7030A0"/>
          <w:sz w:val="24"/>
          <w:szCs w:val="24"/>
        </w:rPr>
        <w:t xml:space="preserve">英语、翻译 </w:t>
      </w:r>
      <w:r>
        <w:rPr>
          <w:rFonts w:ascii="Times New Roman" w:hAnsi="Times New Roman"/>
          <w:color w:val="00B0F0"/>
          <w:szCs w:val="21"/>
        </w:rPr>
        <w:t>（英国</w:t>
      </w:r>
      <w:r>
        <w:rPr>
          <w:rFonts w:ascii="Times New Roman" w:hAnsi="Times New Roman"/>
          <w:color w:val="00B0F0"/>
        </w:rPr>
        <w:t>官方REF学术研究排名第7位）</w:t>
      </w:r>
    </w:p>
    <w:p>
      <w:pPr>
        <w:pStyle w:val="12"/>
        <w:ind w:left="38" w:firstLine="0" w:firstLineChars="0"/>
        <w:jc w:val="left"/>
        <w:rPr>
          <w:rFonts w:ascii="Times New Roman" w:hAnsi="Times New Roman"/>
          <w:b/>
          <w:szCs w:val="21"/>
        </w:rPr>
      </w:pPr>
      <w:r>
        <w:rPr>
          <w:rFonts w:ascii="Times New Roman" w:hAnsi="Times New Roman"/>
          <w:b/>
          <w:szCs w:val="21"/>
        </w:rPr>
        <w:t>本科</w:t>
      </w:r>
    </w:p>
    <w:p>
      <w:r>
        <w:t xml:space="preserve">BA English-Chinese Translation and Interpreting </w:t>
      </w:r>
      <w:r>
        <w:rPr>
          <w:rFonts w:hint="eastAsia"/>
        </w:rPr>
        <w:t>中英文</w:t>
      </w:r>
      <w:r>
        <w:t>笔译与口译</w:t>
      </w:r>
    </w:p>
    <w:p>
      <w:pPr>
        <w:jc w:val="left"/>
        <w:rPr>
          <w:color w:val="000000"/>
          <w:szCs w:val="21"/>
        </w:rPr>
      </w:pPr>
      <w:r>
        <w:rPr>
          <w:szCs w:val="21"/>
        </w:rPr>
        <w:t xml:space="preserve">BA </w:t>
      </w:r>
      <w:r>
        <w:rPr>
          <w:color w:val="000000"/>
          <w:szCs w:val="21"/>
        </w:rPr>
        <w:t>English Language and TESOL英语语言和英语教育</w:t>
      </w:r>
    </w:p>
    <w:p>
      <w:pPr>
        <w:jc w:val="left"/>
        <w:rPr>
          <w:rFonts w:hint="eastAsia"/>
          <w:szCs w:val="21"/>
        </w:rPr>
      </w:pPr>
      <w:r>
        <w:rPr>
          <w:rFonts w:hint="eastAsia"/>
          <w:szCs w:val="21"/>
        </w:rPr>
        <w:t>BA</w:t>
      </w:r>
      <w:r>
        <w:rPr>
          <w:szCs w:val="21"/>
        </w:rPr>
        <w:t xml:space="preserve"> </w:t>
      </w:r>
      <w:r>
        <w:rPr>
          <w:color w:val="000000"/>
          <w:szCs w:val="21"/>
        </w:rPr>
        <w:t>English Language and</w:t>
      </w:r>
      <w:r>
        <w:rPr>
          <w:rFonts w:hint="eastAsia"/>
          <w:color w:val="000000"/>
          <w:szCs w:val="21"/>
        </w:rPr>
        <w:t xml:space="preserve"> Media</w:t>
      </w:r>
      <w:r>
        <w:rPr>
          <w:rFonts w:hint="eastAsia"/>
          <w:szCs w:val="21"/>
        </w:rPr>
        <w:t xml:space="preserve"> </w:t>
      </w:r>
      <w:r>
        <w:rPr>
          <w:color w:val="000000"/>
          <w:szCs w:val="21"/>
        </w:rPr>
        <w:t>英语语言</w:t>
      </w:r>
      <w:r>
        <w:rPr>
          <w:rFonts w:hint="eastAsia"/>
          <w:szCs w:val="21"/>
        </w:rPr>
        <w:t>与新闻传媒</w:t>
      </w:r>
    </w:p>
    <w:p>
      <w:pPr>
        <w:jc w:val="left"/>
        <w:rPr>
          <w:rFonts w:hint="eastAsia"/>
          <w:color w:val="000000"/>
          <w:szCs w:val="21"/>
        </w:rPr>
      </w:pPr>
      <w:r>
        <w:rPr>
          <w:szCs w:val="21"/>
        </w:rPr>
        <w:t xml:space="preserve">BA </w:t>
      </w:r>
      <w:r>
        <w:rPr>
          <w:color w:val="000000"/>
          <w:szCs w:val="21"/>
        </w:rPr>
        <w:t>English Language 英语语言学</w:t>
      </w:r>
    </w:p>
    <w:p>
      <w:pPr>
        <w:jc w:val="left"/>
        <w:rPr>
          <w:rFonts w:hint="eastAsia"/>
          <w:color w:val="000000"/>
          <w:szCs w:val="21"/>
        </w:rPr>
      </w:pPr>
      <w:r>
        <w:rPr>
          <w:color w:val="000000"/>
          <w:szCs w:val="21"/>
        </w:rPr>
        <w:t>BA English Literature</w:t>
      </w:r>
      <w:r>
        <w:rPr>
          <w:rFonts w:hint="eastAsia"/>
          <w:color w:val="000000"/>
          <w:szCs w:val="21"/>
        </w:rPr>
        <w:t xml:space="preserve"> 英语文学</w:t>
      </w:r>
    </w:p>
    <w:p>
      <w:r>
        <w:t>BSc Applied Linguistics and English Language</w:t>
      </w:r>
      <w:r>
        <w:rPr>
          <w:rFonts w:hint="eastAsia"/>
        </w:rPr>
        <w:t xml:space="preserve"> 应用语言学与英语语言</w:t>
      </w:r>
    </w:p>
    <w:p>
      <w:pPr>
        <w:jc w:val="left"/>
        <w:rPr>
          <w:b/>
          <w:szCs w:val="21"/>
        </w:rPr>
      </w:pPr>
      <w:r>
        <w:rPr>
          <w:b/>
          <w:szCs w:val="21"/>
        </w:rPr>
        <w:t>硕士</w:t>
      </w:r>
    </w:p>
    <w:p>
      <w:pPr>
        <w:jc w:val="left"/>
        <w:rPr>
          <w:color w:val="000000"/>
          <w:szCs w:val="21"/>
          <w:lang w:val="en-GB"/>
        </w:rPr>
      </w:pPr>
      <w:r>
        <w:rPr>
          <w:szCs w:val="21"/>
        </w:rPr>
        <w:t xml:space="preserve">MA </w:t>
      </w:r>
      <w:r>
        <w:rPr>
          <w:color w:val="000000"/>
          <w:szCs w:val="21"/>
          <w:lang w:val="en-GB"/>
        </w:rPr>
        <w:t xml:space="preserve">Translation and Interpreting </w:t>
      </w:r>
      <w:r>
        <w:rPr>
          <w:color w:val="000000"/>
          <w:szCs w:val="21"/>
        </w:rPr>
        <w:t>笔译和口译</w:t>
      </w:r>
      <w:r>
        <w:rPr>
          <w:color w:val="FF0000"/>
          <w:szCs w:val="21"/>
          <w:lang w:val="en-GB"/>
        </w:rPr>
        <w:t>（含三个月实习）</w:t>
      </w:r>
    </w:p>
    <w:p>
      <w:pPr>
        <w:jc w:val="left"/>
        <w:rPr>
          <w:color w:val="000000"/>
          <w:szCs w:val="21"/>
        </w:rPr>
      </w:pPr>
      <w:r>
        <w:rPr>
          <w:szCs w:val="21"/>
        </w:rPr>
        <w:t>MA Professional Translation专业翻译</w:t>
      </w:r>
      <w:r>
        <w:rPr>
          <w:color w:val="FF0000"/>
          <w:szCs w:val="21"/>
          <w:lang w:val="en-GB"/>
        </w:rPr>
        <w:t>（含三个月实习）</w:t>
      </w:r>
    </w:p>
    <w:p>
      <w:pPr>
        <w:ind w:left="34" w:leftChars="16"/>
        <w:jc w:val="left"/>
        <w:rPr>
          <w:rFonts w:cs="Arial"/>
          <w:szCs w:val="21"/>
        </w:rPr>
      </w:pPr>
      <w:r>
        <w:rPr>
          <w:rFonts w:hint="eastAsia"/>
          <w:szCs w:val="21"/>
        </w:rPr>
        <w:t>MA</w:t>
      </w:r>
      <w:r>
        <w:rPr>
          <w:color w:val="000000"/>
          <w:szCs w:val="21"/>
        </w:rPr>
        <w:t xml:space="preserve"> </w:t>
      </w:r>
      <w:r>
        <w:rPr>
          <w:rFonts w:hint="eastAsia"/>
          <w:color w:val="000000"/>
          <w:szCs w:val="21"/>
        </w:rPr>
        <w:t>TESOL (</w:t>
      </w:r>
      <w:r>
        <w:rPr>
          <w:color w:val="000000"/>
          <w:szCs w:val="21"/>
        </w:rPr>
        <w:t xml:space="preserve">Teaching English </w:t>
      </w:r>
      <w:r>
        <w:rPr>
          <w:rFonts w:hint="eastAsia"/>
          <w:color w:val="000000"/>
          <w:szCs w:val="21"/>
        </w:rPr>
        <w:t>to Speakers of Other Languages) 英语语言教学/英语教育</w:t>
      </w:r>
    </w:p>
    <w:p>
      <w:pPr>
        <w:ind w:left="34" w:leftChars="16"/>
        <w:jc w:val="left"/>
        <w:rPr>
          <w:rFonts w:hint="eastAsia"/>
          <w:color w:val="000000"/>
          <w:szCs w:val="21"/>
          <w:lang w:val="en-GB"/>
        </w:rPr>
      </w:pPr>
      <w:r>
        <w:rPr>
          <w:rFonts w:hint="eastAsia"/>
          <w:szCs w:val="21"/>
        </w:rPr>
        <w:t>MA</w:t>
      </w:r>
      <w:r>
        <w:rPr>
          <w:color w:val="000000"/>
          <w:szCs w:val="21"/>
          <w:lang w:val="en-GB"/>
        </w:rPr>
        <w:t xml:space="preserve"> Chinese-English Translation and Language Teaching</w:t>
      </w:r>
      <w:r>
        <w:rPr>
          <w:rFonts w:hint="eastAsia"/>
          <w:color w:val="000000"/>
          <w:szCs w:val="21"/>
          <w:lang w:val="en-GB"/>
        </w:rPr>
        <w:t xml:space="preserve"> 中英文翻译和语言教学</w:t>
      </w:r>
    </w:p>
    <w:p>
      <w:pPr>
        <w:ind w:left="34" w:leftChars="16"/>
        <w:jc w:val="left"/>
        <w:rPr>
          <w:rFonts w:hint="eastAsia"/>
          <w:color w:val="000000"/>
          <w:szCs w:val="21"/>
          <w:lang w:val="en-GB"/>
        </w:rPr>
      </w:pPr>
      <w:r>
        <w:rPr>
          <w:rFonts w:hint="eastAsia"/>
          <w:szCs w:val="21"/>
        </w:rPr>
        <w:t>MA Creative Writing 创造性写作</w:t>
      </w:r>
    </w:p>
    <w:p>
      <w:pPr>
        <w:ind w:left="34"/>
        <w:jc w:val="left"/>
        <w:rPr>
          <w:rFonts w:hint="eastAsia"/>
          <w:color w:val="000000"/>
          <w:szCs w:val="21"/>
        </w:rPr>
      </w:pPr>
      <w:r>
        <w:rPr>
          <w:rFonts w:hint="eastAsia"/>
          <w:szCs w:val="21"/>
        </w:rPr>
        <w:t>MA</w:t>
      </w:r>
      <w:r>
        <w:rPr>
          <w:color w:val="000000"/>
          <w:szCs w:val="21"/>
        </w:rPr>
        <w:t xml:space="preserve"> English Literature</w:t>
      </w:r>
      <w:r>
        <w:rPr>
          <w:rFonts w:hint="eastAsia"/>
          <w:color w:val="000000"/>
          <w:szCs w:val="21"/>
        </w:rPr>
        <w:t xml:space="preserve"> 英语文学</w:t>
      </w:r>
    </w:p>
    <w:p>
      <w:pPr>
        <w:ind w:left="34" w:leftChars="16"/>
        <w:jc w:val="left"/>
        <w:rPr>
          <w:rFonts w:hint="eastAsia"/>
          <w:color w:val="000000"/>
          <w:szCs w:val="21"/>
          <w:lang w:val="en-GB"/>
        </w:rPr>
      </w:pPr>
    </w:p>
    <w:p>
      <w:pPr>
        <w:jc w:val="left"/>
        <w:rPr>
          <w:rFonts w:hint="eastAsia"/>
          <w:b/>
          <w:color w:val="7030A0"/>
          <w:sz w:val="24"/>
        </w:rPr>
      </w:pPr>
      <w:r>
        <w:rPr>
          <w:rFonts w:hint="eastAsia"/>
          <w:b/>
          <w:color w:val="7030A0"/>
          <w:sz w:val="24"/>
        </w:rPr>
        <w:t>政治学和国际关系</w:t>
      </w:r>
      <w:r>
        <w:rPr>
          <w:color w:val="00B0F0"/>
          <w:szCs w:val="21"/>
        </w:rPr>
        <w:t>（英国</w:t>
      </w:r>
      <w:r>
        <w:rPr>
          <w:color w:val="00B0F0"/>
        </w:rPr>
        <w:t>官方REF学术研究排名第</w:t>
      </w:r>
      <w:r>
        <w:rPr>
          <w:rFonts w:hint="eastAsia"/>
          <w:color w:val="00B0F0"/>
        </w:rPr>
        <w:t>21</w:t>
      </w:r>
      <w:r>
        <w:rPr>
          <w:color w:val="00B0F0"/>
        </w:rPr>
        <w:t>位）</w:t>
      </w:r>
    </w:p>
    <w:p>
      <w:pPr>
        <w:ind w:left="34" w:leftChars="16" w:right="-764" w:rightChars="-364"/>
        <w:jc w:val="left"/>
        <w:rPr>
          <w:rFonts w:hint="eastAsia" w:ascii="Calibri" w:hAnsi="Calibri"/>
          <w:b/>
        </w:rPr>
      </w:pPr>
      <w:r>
        <w:rPr>
          <w:rFonts w:hint="eastAsia" w:ascii="Calibri" w:hAnsi="Calibri"/>
          <w:b/>
        </w:rPr>
        <w:t>本科</w:t>
      </w:r>
    </w:p>
    <w:p>
      <w:pPr>
        <w:ind w:left="34" w:leftChars="16" w:right="34" w:rightChars="16"/>
        <w:jc w:val="left"/>
        <w:rPr>
          <w:rFonts w:hint="eastAsia"/>
          <w:color w:val="000000"/>
          <w:szCs w:val="21"/>
        </w:rPr>
      </w:pPr>
      <w:r>
        <w:rPr>
          <w:rFonts w:hint="eastAsia"/>
          <w:color w:val="000000"/>
          <w:szCs w:val="21"/>
        </w:rPr>
        <w:t>BA Politics 政治学</w:t>
      </w:r>
    </w:p>
    <w:p>
      <w:pPr>
        <w:ind w:left="34" w:leftChars="16" w:right="34" w:rightChars="16"/>
        <w:jc w:val="left"/>
        <w:rPr>
          <w:rFonts w:hint="eastAsia"/>
          <w:color w:val="000000"/>
          <w:szCs w:val="21"/>
        </w:rPr>
      </w:pPr>
      <w:r>
        <w:rPr>
          <w:rFonts w:hint="eastAsia"/>
          <w:color w:val="000000"/>
          <w:szCs w:val="21"/>
        </w:rPr>
        <w:t>BA International Relations 国际关系学</w:t>
      </w:r>
    </w:p>
    <w:p>
      <w:r>
        <w:t>BA Philosophy, Politics and Economics</w:t>
      </w:r>
      <w:r>
        <w:rPr>
          <w:rFonts w:hint="eastAsia"/>
        </w:rPr>
        <w:t>哲学、政治学及经济学</w:t>
      </w:r>
    </w:p>
    <w:p>
      <w:pPr>
        <w:ind w:left="34" w:leftChars="16" w:right="-764" w:rightChars="-364"/>
        <w:jc w:val="left"/>
        <w:rPr>
          <w:rFonts w:hint="eastAsia"/>
          <w:color w:val="000000"/>
          <w:szCs w:val="21"/>
        </w:rPr>
      </w:pPr>
      <w:r>
        <w:rPr>
          <w:rFonts w:hint="eastAsia"/>
          <w:color w:val="000000"/>
          <w:szCs w:val="21"/>
        </w:rPr>
        <w:t>BA American Studies 美国研究</w:t>
      </w:r>
      <w:r>
        <w:rPr>
          <w:rFonts w:hint="eastAsia"/>
          <w:color w:val="00B0F0"/>
          <w:szCs w:val="21"/>
        </w:rPr>
        <w:t>（全英排名第2位）</w:t>
      </w:r>
    </w:p>
    <w:p>
      <w:pPr>
        <w:ind w:left="34" w:leftChars="16" w:right="31" w:rightChars="15"/>
        <w:jc w:val="left"/>
        <w:rPr>
          <w:rFonts w:hint="eastAsia" w:ascii="Calibri" w:hAnsi="Calibri"/>
          <w:b/>
        </w:rPr>
      </w:pPr>
      <w:r>
        <w:rPr>
          <w:rFonts w:hint="eastAsia" w:ascii="Calibri" w:hAnsi="Calibri"/>
          <w:b/>
        </w:rPr>
        <w:t>硕士</w:t>
      </w:r>
    </w:p>
    <w:p>
      <w:pPr>
        <w:ind w:left="34" w:leftChars="16" w:right="31" w:rightChars="15"/>
        <w:jc w:val="left"/>
        <w:rPr>
          <w:rFonts w:hint="eastAsia"/>
          <w:color w:val="000000"/>
          <w:szCs w:val="21"/>
        </w:rPr>
      </w:pPr>
      <w:r>
        <w:rPr>
          <w:rFonts w:hint="eastAsia"/>
          <w:color w:val="000000"/>
          <w:szCs w:val="21"/>
        </w:rPr>
        <w:t>MA Politics 政治学</w:t>
      </w:r>
    </w:p>
    <w:p>
      <w:pPr>
        <w:ind w:left="34" w:leftChars="16" w:right="31" w:rightChars="15"/>
        <w:jc w:val="left"/>
        <w:rPr>
          <w:rFonts w:hint="eastAsia"/>
          <w:color w:val="000000"/>
          <w:szCs w:val="21"/>
        </w:rPr>
      </w:pPr>
      <w:r>
        <w:rPr>
          <w:rFonts w:hint="eastAsia"/>
          <w:color w:val="000000"/>
          <w:szCs w:val="21"/>
        </w:rPr>
        <w:t>MA Public Policy 公共政策</w:t>
      </w:r>
    </w:p>
    <w:p>
      <w:pPr>
        <w:ind w:left="34" w:leftChars="16" w:right="31" w:rightChars="15"/>
        <w:jc w:val="left"/>
        <w:rPr>
          <w:rFonts w:hint="eastAsia"/>
          <w:color w:val="000000"/>
          <w:szCs w:val="21"/>
        </w:rPr>
      </w:pPr>
      <w:r>
        <w:rPr>
          <w:color w:val="000000"/>
          <w:szCs w:val="21"/>
        </w:rPr>
        <w:t xml:space="preserve">MA </w:t>
      </w:r>
      <w:r>
        <w:rPr>
          <w:rFonts w:hint="eastAsia"/>
          <w:color w:val="000000"/>
          <w:szCs w:val="21"/>
        </w:rPr>
        <w:t>International Relations 国际关系学</w:t>
      </w:r>
    </w:p>
    <w:p>
      <w:pPr>
        <w:ind w:left="34" w:leftChars="16" w:right="31" w:rightChars="15"/>
        <w:jc w:val="left"/>
        <w:rPr>
          <w:rFonts w:hint="eastAsia"/>
          <w:color w:val="000000"/>
          <w:szCs w:val="21"/>
        </w:rPr>
      </w:pPr>
      <w:r>
        <w:rPr>
          <w:rFonts w:hint="eastAsia"/>
          <w:color w:val="000000"/>
          <w:szCs w:val="21"/>
        </w:rPr>
        <w:t>MA Development and Human Rights 发展与人权</w:t>
      </w:r>
    </w:p>
    <w:p>
      <w:pPr>
        <w:ind w:left="34" w:leftChars="16" w:right="31" w:rightChars="15"/>
        <w:jc w:val="left"/>
        <w:rPr>
          <w:rFonts w:hint="eastAsia"/>
          <w:color w:val="000000"/>
          <w:szCs w:val="21"/>
        </w:rPr>
      </w:pPr>
      <w:r>
        <w:rPr>
          <w:rFonts w:hint="eastAsia"/>
          <w:color w:val="000000"/>
          <w:szCs w:val="21"/>
        </w:rPr>
        <w:t>MA International Security and Development 国际安全和发展</w:t>
      </w:r>
    </w:p>
    <w:p>
      <w:pPr>
        <w:ind w:left="34" w:leftChars="16" w:right="31" w:rightChars="15"/>
        <w:jc w:val="left"/>
        <w:rPr>
          <w:rFonts w:hint="eastAsia"/>
          <w:color w:val="000000"/>
          <w:szCs w:val="21"/>
        </w:rPr>
      </w:pPr>
    </w:p>
    <w:p>
      <w:pPr>
        <w:ind w:right="-483" w:rightChars="-230"/>
        <w:rPr>
          <w:rFonts w:hint="eastAsia"/>
          <w:b/>
          <w:color w:val="7030A0"/>
          <w:sz w:val="24"/>
        </w:rPr>
      </w:pPr>
      <w:r>
        <w:rPr>
          <w:rFonts w:hint="eastAsia"/>
          <w:b/>
          <w:color w:val="7030A0"/>
          <w:sz w:val="24"/>
        </w:rPr>
        <w:t>教育学</w:t>
      </w:r>
    </w:p>
    <w:p>
      <w:pPr>
        <w:ind w:right="-483" w:rightChars="-230"/>
        <w:rPr>
          <w:rFonts w:hint="eastAsia"/>
          <w:b/>
        </w:rPr>
      </w:pPr>
      <w:r>
        <w:rPr>
          <w:rFonts w:hint="eastAsia"/>
          <w:b/>
        </w:rPr>
        <w:t>本科</w:t>
      </w:r>
    </w:p>
    <w:p>
      <w:pPr>
        <w:ind w:right="-483" w:rightChars="-230"/>
        <w:rPr>
          <w:rFonts w:hint="eastAsia"/>
        </w:rPr>
      </w:pPr>
      <w:r>
        <w:t>BA Education</w:t>
      </w:r>
      <w:r>
        <w:rPr>
          <w:rFonts w:hint="eastAsia"/>
        </w:rPr>
        <w:t xml:space="preserve"> 教育学</w:t>
      </w:r>
    </w:p>
    <w:p>
      <w:pPr>
        <w:rPr>
          <w:rFonts w:hint="eastAsia"/>
        </w:rPr>
      </w:pPr>
      <w:r>
        <w:t>BSc</w:t>
      </w:r>
      <w:r>
        <w:rPr>
          <w:rFonts w:hint="eastAsia"/>
        </w:rPr>
        <w:t xml:space="preserve"> </w:t>
      </w:r>
      <w:r>
        <w:t>Education and Psychology</w:t>
      </w:r>
      <w:r>
        <w:rPr>
          <w:rFonts w:hint="eastAsia"/>
        </w:rPr>
        <w:t xml:space="preserve"> 教育和心理学</w:t>
      </w:r>
    </w:p>
    <w:p>
      <w:pPr>
        <w:rPr>
          <w:rFonts w:hint="eastAsia"/>
        </w:rPr>
      </w:pPr>
      <w:r>
        <w:rPr>
          <w:rFonts w:hint="eastAsia"/>
        </w:rPr>
        <w:t>B</w:t>
      </w:r>
      <w:r>
        <w:t>Sc</w:t>
      </w:r>
      <w:r>
        <w:rPr>
          <w:rFonts w:hint="eastAsia"/>
        </w:rPr>
        <w:t xml:space="preserve"> </w:t>
      </w:r>
      <w:r>
        <w:t xml:space="preserve">Education and </w:t>
      </w:r>
      <w:r>
        <w:rPr>
          <w:rFonts w:hint="eastAsia"/>
        </w:rPr>
        <w:t>Computing 教育和计算</w:t>
      </w:r>
    </w:p>
    <w:p>
      <w:pPr>
        <w:rPr>
          <w:rFonts w:hint="eastAsia"/>
        </w:rPr>
      </w:pPr>
      <w:r>
        <w:rPr>
          <w:rFonts w:hint="eastAsia"/>
        </w:rPr>
        <w:t>B</w:t>
      </w:r>
      <w:r>
        <w:t>Sc</w:t>
      </w:r>
      <w:r>
        <w:rPr>
          <w:rFonts w:hint="eastAsia"/>
        </w:rPr>
        <w:t xml:space="preserve"> </w:t>
      </w:r>
      <w:r>
        <w:t>Education and</w:t>
      </w:r>
      <w:r>
        <w:rPr>
          <w:rFonts w:hint="eastAsia"/>
        </w:rPr>
        <w:t xml:space="preserve"> Mathematics 教育和数学</w:t>
      </w:r>
    </w:p>
    <w:p>
      <w:r>
        <w:t>BA Early Childhood Studies</w:t>
      </w:r>
      <w:r>
        <w:rPr>
          <w:rFonts w:ascii="Arial" w:hAnsi="Arial" w:cs="Arial"/>
          <w:color w:val="333333"/>
          <w:sz w:val="20"/>
          <w:szCs w:val="20"/>
          <w:shd w:val="clear" w:color="auto" w:fill="FFFFFF"/>
        </w:rPr>
        <w:t xml:space="preserve"> </w:t>
      </w:r>
      <w:r>
        <w:t> 早期儿童研究</w:t>
      </w:r>
      <w:r>
        <w:rPr>
          <w:rFonts w:hint="eastAsia"/>
        </w:rPr>
        <w:t>/</w:t>
      </w:r>
      <w:r>
        <w:t>早教研究</w:t>
      </w:r>
    </w:p>
    <w:p>
      <w:pPr>
        <w:ind w:left="34" w:leftChars="16" w:right="-764" w:rightChars="-364"/>
        <w:jc w:val="left"/>
        <w:rPr>
          <w:rFonts w:hint="eastAsia"/>
          <w:b/>
          <w:color w:val="000000"/>
          <w:szCs w:val="21"/>
        </w:rPr>
      </w:pPr>
      <w:r>
        <w:rPr>
          <w:b/>
          <w:color w:val="000000"/>
          <w:szCs w:val="21"/>
        </w:rPr>
        <w:t>硕士</w:t>
      </w:r>
    </w:p>
    <w:p>
      <w:pPr>
        <w:ind w:left="34" w:leftChars="16" w:right="-764" w:rightChars="-364"/>
        <w:jc w:val="left"/>
        <w:rPr>
          <w:color w:val="000000"/>
          <w:szCs w:val="21"/>
        </w:rPr>
      </w:pPr>
      <w:r>
        <w:rPr>
          <w:rFonts w:hint="eastAsia"/>
          <w:color w:val="000000"/>
          <w:szCs w:val="21"/>
        </w:rPr>
        <w:t xml:space="preserve">MA </w:t>
      </w:r>
      <w:r>
        <w:t>Education</w:t>
      </w:r>
      <w:r>
        <w:rPr>
          <w:rFonts w:hint="eastAsia"/>
        </w:rPr>
        <w:t xml:space="preserve"> 教育学</w:t>
      </w:r>
    </w:p>
    <w:p>
      <w:pPr>
        <w:rPr>
          <w:rFonts w:hint="eastAsia"/>
        </w:rPr>
      </w:pPr>
    </w:p>
    <w:p>
      <w:pPr>
        <w:ind w:firstLine="34" w:firstLineChars="14"/>
        <w:jc w:val="left"/>
        <w:rPr>
          <w:szCs w:val="21"/>
        </w:rPr>
      </w:pPr>
      <w:r>
        <w:rPr>
          <w:b/>
          <w:color w:val="7030A0"/>
          <w:sz w:val="24"/>
        </w:rPr>
        <w:t xml:space="preserve">Engineering </w:t>
      </w:r>
      <w:r>
        <w:rPr>
          <w:rFonts w:hint="eastAsia"/>
          <w:b/>
          <w:color w:val="7030A0"/>
          <w:sz w:val="24"/>
        </w:rPr>
        <w:t>工程学</w:t>
      </w:r>
      <w:r>
        <w:rPr>
          <w:rFonts w:hint="eastAsia"/>
          <w:b/>
          <w:color w:val="00B0F0"/>
          <w:sz w:val="24"/>
        </w:rPr>
        <w:t xml:space="preserve"> </w:t>
      </w:r>
      <w:r>
        <w:rPr>
          <w:color w:val="00B0F0"/>
          <w:szCs w:val="21"/>
        </w:rPr>
        <w:t>（材料工程全英第</w:t>
      </w:r>
      <w:r>
        <w:rPr>
          <w:rFonts w:hint="eastAsia"/>
          <w:color w:val="00B0F0"/>
          <w:szCs w:val="21"/>
        </w:rPr>
        <w:t>9</w:t>
      </w:r>
      <w:r>
        <w:rPr>
          <w:color w:val="00B0F0"/>
          <w:szCs w:val="21"/>
        </w:rPr>
        <w:t>位</w:t>
      </w:r>
      <w:r>
        <w:rPr>
          <w:rFonts w:hint="eastAsia"/>
          <w:color w:val="00B0F0"/>
          <w:szCs w:val="21"/>
        </w:rPr>
        <w:t>、</w:t>
      </w:r>
      <w:r>
        <w:rPr>
          <w:color w:val="00B0F0"/>
          <w:szCs w:val="21"/>
        </w:rPr>
        <w:t>土木工程全英第</w:t>
      </w:r>
      <w:r>
        <w:rPr>
          <w:rFonts w:hint="eastAsia"/>
          <w:color w:val="00B0F0"/>
          <w:szCs w:val="21"/>
        </w:rPr>
        <w:t>10</w:t>
      </w:r>
      <w:r>
        <w:rPr>
          <w:color w:val="00B0F0"/>
          <w:szCs w:val="21"/>
        </w:rPr>
        <w:t>位、</w:t>
      </w:r>
      <w:r>
        <w:rPr>
          <w:rFonts w:hint="eastAsia"/>
          <w:color w:val="00B0F0"/>
          <w:szCs w:val="21"/>
        </w:rPr>
        <w:t>化学工程全英第7位、电子电气工程全英第13位、航天工程全英第7位、机械工程全英第12位、医学工程全英第2位</w:t>
      </w:r>
      <w:r>
        <w:rPr>
          <w:color w:val="00B0F0"/>
          <w:szCs w:val="21"/>
        </w:rPr>
        <w:t>）</w:t>
      </w:r>
    </w:p>
    <w:p>
      <w:pPr>
        <w:spacing w:line="360" w:lineRule="auto"/>
        <w:ind w:firstLine="1"/>
        <w:jc w:val="left"/>
        <w:rPr>
          <w:rFonts w:hint="eastAsia"/>
          <w:b/>
          <w:color w:val="000000"/>
          <w:szCs w:val="21"/>
        </w:rPr>
      </w:pPr>
      <w:r>
        <w:rPr>
          <w:rFonts w:hint="eastAsia"/>
          <w:b/>
          <w:color w:val="000000"/>
          <w:szCs w:val="21"/>
        </w:rPr>
        <w:t>本科</w:t>
      </w:r>
    </w:p>
    <w:p>
      <w:pPr>
        <w:numPr>
          <w:ilvl w:val="0"/>
          <w:numId w:val="8"/>
        </w:numPr>
        <w:ind w:right="-764" w:rightChars="-364"/>
        <w:rPr>
          <w:rFonts w:hint="eastAsia"/>
          <w:b/>
          <w:color w:val="000000"/>
          <w:szCs w:val="21"/>
        </w:rPr>
      </w:pPr>
      <w:r>
        <w:rPr>
          <w:rFonts w:hint="eastAsia"/>
          <w:b/>
          <w:color w:val="000000"/>
          <w:szCs w:val="21"/>
        </w:rPr>
        <w:t>以下本科专业均开设有三年制课程、含一年带薪实习的四年制课程</w:t>
      </w:r>
    </w:p>
    <w:p>
      <w:pPr>
        <w:rPr>
          <w:rFonts w:hint="eastAsia"/>
        </w:rPr>
      </w:pPr>
      <w:r>
        <w:t>BEng Engineering</w:t>
      </w:r>
      <w:r>
        <w:rPr>
          <w:rFonts w:hint="eastAsia"/>
        </w:rPr>
        <w:t xml:space="preserve"> 工程学</w:t>
      </w:r>
    </w:p>
    <w:p>
      <w:pPr>
        <w:ind w:right="-764" w:rightChars="-364"/>
        <w:rPr>
          <w:szCs w:val="21"/>
        </w:rPr>
      </w:pPr>
      <w:r>
        <w:rPr>
          <w:rFonts w:hint="eastAsia"/>
          <w:szCs w:val="21"/>
        </w:rPr>
        <w:t xml:space="preserve">BEng </w:t>
      </w:r>
      <w:r>
        <w:rPr>
          <w:szCs w:val="21"/>
        </w:rPr>
        <w:t>Civil Engineering</w:t>
      </w:r>
      <w:r>
        <w:rPr>
          <w:rFonts w:hint="eastAsia"/>
          <w:szCs w:val="21"/>
        </w:rPr>
        <w:t xml:space="preserve"> 土木工程</w:t>
      </w:r>
    </w:p>
    <w:p>
      <w:pPr>
        <w:ind w:right="-764" w:rightChars="-364"/>
        <w:rPr>
          <w:szCs w:val="21"/>
        </w:rPr>
      </w:pPr>
      <w:r>
        <w:rPr>
          <w:rFonts w:hint="eastAsia"/>
          <w:szCs w:val="21"/>
        </w:rPr>
        <w:t xml:space="preserve">BEng </w:t>
      </w:r>
      <w:r>
        <w:rPr>
          <w:szCs w:val="21"/>
        </w:rPr>
        <w:t>Chemical</w:t>
      </w:r>
      <w:r>
        <w:rPr>
          <w:rFonts w:hint="eastAsia"/>
          <w:szCs w:val="21"/>
        </w:rPr>
        <w:t xml:space="preserve"> Engineering 化学工程</w:t>
      </w:r>
    </w:p>
    <w:p>
      <w:pPr>
        <w:ind w:right="-764" w:rightChars="-364"/>
        <w:rPr>
          <w:szCs w:val="21"/>
        </w:rPr>
      </w:pPr>
      <w:r>
        <w:rPr>
          <w:rFonts w:hint="eastAsia"/>
          <w:szCs w:val="21"/>
        </w:rPr>
        <w:t>BEng Aerospace Engineering 航天工程</w:t>
      </w:r>
    </w:p>
    <w:p>
      <w:pPr>
        <w:ind w:right="-764" w:rightChars="-364"/>
        <w:rPr>
          <w:szCs w:val="21"/>
        </w:rPr>
      </w:pPr>
      <w:r>
        <w:rPr>
          <w:rFonts w:hint="eastAsia"/>
          <w:szCs w:val="21"/>
        </w:rPr>
        <w:t xml:space="preserve">BEng </w:t>
      </w:r>
      <w:r>
        <w:rPr>
          <w:szCs w:val="21"/>
        </w:rPr>
        <w:t>Mechanical Engineering</w:t>
      </w:r>
      <w:r>
        <w:rPr>
          <w:rFonts w:hint="eastAsia"/>
          <w:szCs w:val="21"/>
        </w:rPr>
        <w:t xml:space="preserve"> 机械工程</w:t>
      </w:r>
    </w:p>
    <w:p>
      <w:pPr>
        <w:ind w:right="-764" w:rightChars="-364"/>
        <w:rPr>
          <w:szCs w:val="21"/>
        </w:rPr>
      </w:pPr>
      <w:r>
        <w:rPr>
          <w:rFonts w:hint="eastAsia"/>
          <w:szCs w:val="21"/>
        </w:rPr>
        <w:t xml:space="preserve">BEng </w:t>
      </w:r>
      <w:r>
        <w:rPr>
          <w:szCs w:val="21"/>
        </w:rPr>
        <w:t>Electronic and Electrical Engineering</w:t>
      </w:r>
      <w:r>
        <w:rPr>
          <w:rFonts w:hint="eastAsia"/>
          <w:szCs w:val="21"/>
        </w:rPr>
        <w:t xml:space="preserve"> 电子电气工程</w:t>
      </w:r>
    </w:p>
    <w:p>
      <w:pPr>
        <w:ind w:right="-764" w:rightChars="-364"/>
        <w:rPr>
          <w:szCs w:val="21"/>
        </w:rPr>
      </w:pPr>
      <w:r>
        <w:rPr>
          <w:rFonts w:hint="eastAsia"/>
          <w:szCs w:val="21"/>
        </w:rPr>
        <w:t xml:space="preserve">BEng </w:t>
      </w:r>
      <w:r>
        <w:rPr>
          <w:szCs w:val="21"/>
        </w:rPr>
        <w:t>Materials Science and Engineering</w:t>
      </w:r>
      <w:r>
        <w:rPr>
          <w:rFonts w:hint="eastAsia"/>
          <w:szCs w:val="21"/>
        </w:rPr>
        <w:t xml:space="preserve">  材料科学与工程</w:t>
      </w:r>
    </w:p>
    <w:p>
      <w:pPr>
        <w:ind w:right="-764" w:rightChars="-364"/>
        <w:rPr>
          <w:rFonts w:hint="eastAsia"/>
          <w:color w:val="000000"/>
          <w:szCs w:val="21"/>
        </w:rPr>
      </w:pPr>
      <w:r>
        <w:rPr>
          <w:rFonts w:hint="eastAsia"/>
          <w:szCs w:val="21"/>
        </w:rPr>
        <w:t>BEng Medical En</w:t>
      </w:r>
      <w:r>
        <w:rPr>
          <w:rFonts w:hint="eastAsia"/>
          <w:color w:val="000000"/>
          <w:szCs w:val="21"/>
        </w:rPr>
        <w:t>gineering 医学工程</w:t>
      </w:r>
    </w:p>
    <w:p>
      <w:pPr>
        <w:ind w:left="141" w:right="-764" w:rightChars="-364" w:hanging="141" w:hangingChars="67"/>
        <w:rPr>
          <w:rFonts w:hint="eastAsia"/>
          <w:b/>
          <w:color w:val="000000"/>
          <w:szCs w:val="21"/>
        </w:rPr>
      </w:pPr>
      <w:r>
        <w:rPr>
          <w:rFonts w:hint="eastAsia"/>
          <w:b/>
          <w:color w:val="000000"/>
          <w:szCs w:val="21"/>
        </w:rPr>
        <w:t>硕士</w:t>
      </w:r>
    </w:p>
    <w:p>
      <w:pPr>
        <w:ind w:left="141" w:right="-764" w:rightChars="-364" w:hanging="140" w:hangingChars="67"/>
        <w:rPr>
          <w:szCs w:val="21"/>
        </w:rPr>
      </w:pPr>
      <w:r>
        <w:rPr>
          <w:rFonts w:hint="eastAsia"/>
          <w:szCs w:val="21"/>
        </w:rPr>
        <w:t xml:space="preserve">MSc </w:t>
      </w:r>
      <w:r>
        <w:rPr>
          <w:szCs w:val="21"/>
        </w:rPr>
        <w:t>Civil Engineering</w:t>
      </w:r>
      <w:r>
        <w:rPr>
          <w:rFonts w:hint="eastAsia"/>
          <w:szCs w:val="21"/>
        </w:rPr>
        <w:t xml:space="preserve"> 土木工程</w:t>
      </w:r>
    </w:p>
    <w:p>
      <w:pPr>
        <w:jc w:val="left"/>
        <w:rPr>
          <w:rFonts w:hint="eastAsia"/>
          <w:szCs w:val="21"/>
        </w:rPr>
      </w:pPr>
      <w:r>
        <w:rPr>
          <w:szCs w:val="21"/>
        </w:rPr>
        <w:t>MSc Structural Engineering</w:t>
      </w:r>
      <w:r>
        <w:rPr>
          <w:rFonts w:hint="eastAsia"/>
          <w:szCs w:val="21"/>
        </w:rPr>
        <w:t xml:space="preserve"> 结构工程</w:t>
      </w:r>
      <w:r>
        <w:rPr>
          <w:szCs w:val="21"/>
        </w:rPr>
        <w:t xml:space="preserve"> </w:t>
      </w:r>
    </w:p>
    <w:p>
      <w:pPr>
        <w:jc w:val="left"/>
        <w:rPr>
          <w:rFonts w:hint="eastAsia"/>
          <w:szCs w:val="21"/>
        </w:rPr>
      </w:pPr>
      <w:r>
        <w:rPr>
          <w:rFonts w:hint="eastAsia"/>
          <w:szCs w:val="21"/>
        </w:rPr>
        <w:t>MSc</w:t>
      </w:r>
      <w:r>
        <w:rPr>
          <w:szCs w:val="21"/>
        </w:rPr>
        <w:t xml:space="preserve"> Chemical Engineering</w:t>
      </w:r>
      <w:r>
        <w:rPr>
          <w:rFonts w:hint="eastAsia"/>
          <w:szCs w:val="21"/>
        </w:rPr>
        <w:t xml:space="preserve"> 化学工程</w:t>
      </w:r>
    </w:p>
    <w:p>
      <w:pPr>
        <w:ind w:right="-764" w:rightChars="-364" w:hanging="2"/>
        <w:rPr>
          <w:szCs w:val="21"/>
        </w:rPr>
      </w:pPr>
      <w:r>
        <w:rPr>
          <w:rFonts w:hint="eastAsia"/>
          <w:szCs w:val="21"/>
        </w:rPr>
        <w:t>MSc Aerospace Engineering 航天工程</w:t>
      </w:r>
    </w:p>
    <w:p>
      <w:pPr>
        <w:ind w:left="141" w:right="-764" w:rightChars="-364" w:hanging="140" w:hangingChars="67"/>
        <w:rPr>
          <w:szCs w:val="21"/>
        </w:rPr>
      </w:pPr>
      <w:r>
        <w:rPr>
          <w:rFonts w:hint="eastAsia"/>
          <w:szCs w:val="21"/>
        </w:rPr>
        <w:t>MSc</w:t>
      </w:r>
      <w:r>
        <w:rPr>
          <w:szCs w:val="21"/>
        </w:rPr>
        <w:t xml:space="preserve"> Materials Engineering</w:t>
      </w:r>
      <w:r>
        <w:rPr>
          <w:rFonts w:hint="eastAsia"/>
          <w:szCs w:val="21"/>
        </w:rPr>
        <w:t xml:space="preserve">  材料工程</w:t>
      </w:r>
    </w:p>
    <w:p>
      <w:pPr>
        <w:ind w:left="141" w:right="-764" w:rightChars="-364" w:hanging="140" w:hangingChars="67"/>
        <w:rPr>
          <w:rFonts w:hint="eastAsia"/>
          <w:szCs w:val="21"/>
        </w:rPr>
      </w:pPr>
      <w:r>
        <w:rPr>
          <w:rFonts w:hint="eastAsia"/>
          <w:szCs w:val="21"/>
        </w:rPr>
        <w:t>MSc</w:t>
      </w:r>
      <w:r>
        <w:rPr>
          <w:szCs w:val="21"/>
        </w:rPr>
        <w:t xml:space="preserve"> Mechanical Engineering</w:t>
      </w:r>
      <w:r>
        <w:rPr>
          <w:rFonts w:hint="eastAsia"/>
          <w:szCs w:val="21"/>
        </w:rPr>
        <w:t xml:space="preserve"> 机械工程</w:t>
      </w:r>
    </w:p>
    <w:p>
      <w:pPr>
        <w:rPr>
          <w:rFonts w:hint="eastAsia"/>
        </w:rPr>
      </w:pPr>
      <w:r>
        <w:t>MSc Computational Engineering</w:t>
      </w:r>
      <w:r>
        <w:rPr>
          <w:rFonts w:hint="eastAsia"/>
        </w:rPr>
        <w:t xml:space="preserve"> 计算工程</w:t>
      </w:r>
    </w:p>
    <w:p>
      <w:r>
        <w:t>MSc Computational</w:t>
      </w:r>
      <w:r>
        <w:rPr>
          <w:rFonts w:hint="eastAsia"/>
        </w:rPr>
        <w:t xml:space="preserve"> Mechanics 计算力学（2年制</w:t>
      </w:r>
      <w:r>
        <w:t> </w:t>
      </w:r>
      <w:r>
        <w:rPr>
          <w:rFonts w:hint="eastAsia"/>
        </w:rPr>
        <w:t>）</w:t>
      </w:r>
    </w:p>
    <w:p>
      <w:pPr>
        <w:ind w:left="141" w:right="-764" w:rightChars="-364" w:hanging="140" w:hangingChars="67"/>
        <w:rPr>
          <w:szCs w:val="21"/>
        </w:rPr>
      </w:pPr>
      <w:r>
        <w:rPr>
          <w:rFonts w:hint="eastAsia"/>
          <w:szCs w:val="21"/>
        </w:rPr>
        <w:t>MSc</w:t>
      </w:r>
      <w:r>
        <w:rPr>
          <w:szCs w:val="21"/>
        </w:rPr>
        <w:t xml:space="preserve"> Communication</w:t>
      </w:r>
      <w:r>
        <w:rPr>
          <w:rFonts w:hint="eastAsia"/>
          <w:szCs w:val="21"/>
        </w:rPr>
        <w:t>s Engineering通信工程</w:t>
      </w:r>
    </w:p>
    <w:p>
      <w:pPr>
        <w:jc w:val="left"/>
        <w:rPr>
          <w:rFonts w:hint="eastAsia"/>
          <w:szCs w:val="21"/>
        </w:rPr>
      </w:pPr>
      <w:r>
        <w:rPr>
          <w:rFonts w:hint="eastAsia"/>
          <w:szCs w:val="21"/>
        </w:rPr>
        <w:t>MSc Nanoscience to Nanotechnology 纳米科学与技术</w:t>
      </w:r>
    </w:p>
    <w:p>
      <w:pPr>
        <w:ind w:left="141" w:right="-764" w:rightChars="-364" w:hanging="140" w:hangingChars="67"/>
        <w:rPr>
          <w:rFonts w:hint="eastAsia"/>
          <w:szCs w:val="21"/>
        </w:rPr>
      </w:pPr>
      <w:r>
        <w:rPr>
          <w:rFonts w:hint="eastAsia"/>
          <w:szCs w:val="21"/>
        </w:rPr>
        <w:t>MSc</w:t>
      </w:r>
      <w:r>
        <w:rPr>
          <w:szCs w:val="21"/>
        </w:rPr>
        <w:t xml:space="preserve"> Electronic and Electrical Engineering</w:t>
      </w:r>
      <w:r>
        <w:rPr>
          <w:rFonts w:hint="eastAsia"/>
          <w:szCs w:val="21"/>
        </w:rPr>
        <w:t xml:space="preserve"> 电子电气工程</w:t>
      </w:r>
    </w:p>
    <w:p>
      <w:pPr>
        <w:jc w:val="left"/>
        <w:rPr>
          <w:rFonts w:hint="eastAsia"/>
          <w:szCs w:val="21"/>
        </w:rPr>
      </w:pPr>
      <w:r>
        <w:rPr>
          <w:rFonts w:hint="eastAsia"/>
          <w:szCs w:val="21"/>
        </w:rPr>
        <w:t>MSc Power Engineering and Sustainable Energy 电力工程与可持续能源</w:t>
      </w:r>
    </w:p>
    <w:p>
      <w:pPr>
        <w:ind w:right="-907" w:rightChars="-432"/>
        <w:rPr>
          <w:rFonts w:hint="eastAsia"/>
        </w:rPr>
      </w:pPr>
      <w:r>
        <w:rPr>
          <w:rFonts w:hint="eastAsia"/>
        </w:rPr>
        <w:t>MSc</w:t>
      </w:r>
      <w:r>
        <w:t xml:space="preserve"> Virtual Reality</w:t>
      </w:r>
      <w:r>
        <w:rPr>
          <w:rFonts w:hint="eastAsia"/>
        </w:rPr>
        <w:t xml:space="preserve"> 虚拟现实</w:t>
      </w:r>
      <w:r>
        <w:rPr>
          <w:rFonts w:hint="eastAsia"/>
          <w:color w:val="000000"/>
        </w:rPr>
        <w:t>（无专业背景要求）</w:t>
      </w:r>
    </w:p>
    <w:p>
      <w:pPr>
        <w:ind w:right="-907" w:rightChars="-432"/>
        <w:rPr>
          <w:rFonts w:hint="eastAsia"/>
          <w:color w:val="000000"/>
        </w:rPr>
      </w:pPr>
      <w:r>
        <w:rPr>
          <w:rFonts w:hint="eastAsia"/>
          <w:szCs w:val="21"/>
        </w:rPr>
        <w:t>MSc Engineering Leadership and Management</w:t>
      </w:r>
      <w:r>
        <w:t>工程领导力与管理学</w:t>
      </w:r>
      <w:r>
        <w:rPr>
          <w:rFonts w:hint="eastAsia"/>
          <w:color w:val="000000"/>
        </w:rPr>
        <w:t>（无专业背景要求）</w:t>
      </w:r>
    </w:p>
    <w:p>
      <w:pPr>
        <w:ind w:right="-907" w:rightChars="-432"/>
        <w:rPr>
          <w:rFonts w:hint="eastAsia"/>
          <w:color w:val="000000"/>
        </w:rPr>
      </w:pPr>
      <w:r>
        <w:rPr>
          <w:rFonts w:hint="eastAsia"/>
        </w:rPr>
        <w:t>MSc</w:t>
      </w:r>
      <w:r>
        <w:t xml:space="preserve"> Sustainable Engineering Management for International Development</w:t>
      </w:r>
      <w:r>
        <w:rPr>
          <w:rFonts w:hint="eastAsia"/>
          <w:color w:val="000000"/>
        </w:rPr>
        <w:t xml:space="preserve"> 国际发展可持续工程管理 （无专业背景要求）</w:t>
      </w:r>
    </w:p>
    <w:p>
      <w:r>
        <w:t>MA Sports Ethics and Integrity</w:t>
      </w:r>
      <w:r>
        <w:rPr>
          <w:rFonts w:hint="eastAsia"/>
        </w:rPr>
        <w:t xml:space="preserve"> 体育伦理学与诚信（2年制</w:t>
      </w:r>
      <w:r>
        <w:t> Erasmus Mundus </w:t>
      </w:r>
      <w:r>
        <w:rPr>
          <w:rFonts w:hint="eastAsia"/>
        </w:rPr>
        <w:t>）</w:t>
      </w:r>
    </w:p>
    <w:p>
      <w:pPr>
        <w:jc w:val="left"/>
        <w:rPr>
          <w:rFonts w:hint="eastAsia"/>
          <w:b/>
          <w:color w:val="FF0000"/>
          <w:szCs w:val="21"/>
        </w:rPr>
      </w:pPr>
      <w:r>
        <w:rPr>
          <w:rFonts w:hint="eastAsia"/>
          <w:b/>
          <w:color w:val="FF0000"/>
          <w:szCs w:val="21"/>
        </w:rPr>
        <w:t>以下硕士专业含一年企业实习：</w:t>
      </w:r>
    </w:p>
    <w:p>
      <w:r>
        <w:t>MSc Materials Engineering with Industry</w:t>
      </w:r>
      <w:r>
        <w:rPr>
          <w:rFonts w:hint="eastAsia"/>
          <w:szCs w:val="21"/>
        </w:rPr>
        <w:t>材料工程</w:t>
      </w:r>
    </w:p>
    <w:p>
      <w:r>
        <w:t>MSc Mechanical Engineering with Industry</w:t>
      </w:r>
      <w:r>
        <w:rPr>
          <w:rFonts w:hint="eastAsia"/>
          <w:szCs w:val="21"/>
        </w:rPr>
        <w:t>机械工程</w:t>
      </w:r>
    </w:p>
    <w:p>
      <w:r>
        <w:t>MSc Computational Engineering with Industry</w:t>
      </w:r>
      <w:r>
        <w:rPr>
          <w:rFonts w:hint="eastAsia"/>
        </w:rPr>
        <w:t xml:space="preserve">  计算工程</w:t>
      </w:r>
    </w:p>
    <w:p>
      <w:r>
        <w:t>MSc Electronic and Electrical Engineering with Industry</w:t>
      </w:r>
      <w:r>
        <w:rPr>
          <w:rFonts w:hint="eastAsia"/>
          <w:szCs w:val="21"/>
        </w:rPr>
        <w:t>电子电气工程</w:t>
      </w:r>
    </w:p>
    <w:p>
      <w:pPr>
        <w:jc w:val="left"/>
        <w:rPr>
          <w:rFonts w:hint="eastAsia"/>
          <w:color w:val="000000"/>
          <w:szCs w:val="21"/>
        </w:rPr>
      </w:pPr>
    </w:p>
    <w:p>
      <w:pPr>
        <w:ind w:left="34" w:leftChars="16"/>
        <w:jc w:val="left"/>
        <w:rPr>
          <w:b/>
          <w:color w:val="00B0F0"/>
          <w:szCs w:val="21"/>
        </w:rPr>
      </w:pPr>
      <w:r>
        <w:rPr>
          <w:b/>
          <w:color w:val="7030A0"/>
          <w:sz w:val="24"/>
        </w:rPr>
        <w:t xml:space="preserve">Law </w:t>
      </w:r>
      <w:r>
        <w:rPr>
          <w:rFonts w:hint="eastAsia"/>
          <w:b/>
          <w:color w:val="7030A0"/>
          <w:sz w:val="24"/>
        </w:rPr>
        <w:t>法学</w:t>
      </w:r>
      <w:r>
        <w:rPr>
          <w:color w:val="00B0F0"/>
          <w:szCs w:val="21"/>
        </w:rPr>
        <w:t>（全英排名第25位</w:t>
      </w:r>
      <w:r>
        <w:rPr>
          <w:rFonts w:hint="eastAsia"/>
          <w:color w:val="00B0F0"/>
          <w:szCs w:val="21"/>
        </w:rPr>
        <w:t>，</w:t>
      </w:r>
      <w:r>
        <w:rPr>
          <w:color w:val="00B0F0"/>
          <w:szCs w:val="21"/>
        </w:rPr>
        <w:t>世界大学排名前</w:t>
      </w:r>
      <w:r>
        <w:rPr>
          <w:rFonts w:hint="eastAsia"/>
          <w:color w:val="00B0F0"/>
          <w:szCs w:val="21"/>
        </w:rPr>
        <w:t>200位</w:t>
      </w:r>
      <w:r>
        <w:rPr>
          <w:color w:val="00B0F0"/>
          <w:szCs w:val="21"/>
        </w:rPr>
        <w:t>）</w:t>
      </w:r>
    </w:p>
    <w:p>
      <w:pPr>
        <w:ind w:left="141" w:right="-764" w:rightChars="-364" w:hanging="141" w:hangingChars="67"/>
        <w:rPr>
          <w:rFonts w:hint="eastAsia"/>
          <w:b/>
          <w:szCs w:val="21"/>
        </w:rPr>
      </w:pPr>
      <w:r>
        <w:rPr>
          <w:rFonts w:hint="eastAsia"/>
          <w:b/>
          <w:szCs w:val="21"/>
        </w:rPr>
        <w:t>本科</w:t>
      </w:r>
    </w:p>
    <w:p>
      <w:pPr>
        <w:ind w:right="-764" w:rightChars="-364"/>
        <w:rPr>
          <w:rFonts w:hint="eastAsia"/>
          <w:color w:val="000000"/>
          <w:szCs w:val="21"/>
        </w:rPr>
      </w:pPr>
      <w:r>
        <w:rPr>
          <w:rFonts w:hint="eastAsia"/>
          <w:color w:val="000000"/>
          <w:szCs w:val="21"/>
        </w:rPr>
        <w:t xml:space="preserve">LLB </w:t>
      </w:r>
      <w:r>
        <w:rPr>
          <w:color w:val="000000"/>
          <w:szCs w:val="21"/>
        </w:rPr>
        <w:t>Law</w:t>
      </w:r>
      <w:r>
        <w:rPr>
          <w:rFonts w:hint="eastAsia"/>
          <w:color w:val="000000"/>
          <w:szCs w:val="21"/>
        </w:rPr>
        <w:t xml:space="preserve">  法学</w:t>
      </w:r>
    </w:p>
    <w:p>
      <w:pPr>
        <w:ind w:right="-764" w:rightChars="-364"/>
        <w:rPr>
          <w:rFonts w:hint="eastAsia"/>
          <w:color w:val="000000"/>
          <w:szCs w:val="21"/>
        </w:rPr>
      </w:pPr>
      <w:r>
        <w:rPr>
          <w:rFonts w:hint="eastAsia"/>
          <w:color w:val="000000"/>
          <w:szCs w:val="21"/>
        </w:rPr>
        <w:t>LLB Business Law 商法</w:t>
      </w:r>
    </w:p>
    <w:p>
      <w:pPr>
        <w:rPr>
          <w:rFonts w:hint="eastAsia"/>
          <w:color w:val="000000"/>
          <w:szCs w:val="21"/>
        </w:rPr>
      </w:pPr>
      <w:r>
        <w:t>LLB Law with Criminology</w:t>
      </w:r>
      <w:r>
        <w:rPr>
          <w:rFonts w:hint="eastAsia"/>
        </w:rPr>
        <w:t xml:space="preserve"> 法学和犯罪学</w:t>
      </w:r>
    </w:p>
    <w:p>
      <w:pPr>
        <w:ind w:left="141" w:right="-764" w:rightChars="-364" w:hanging="141" w:hangingChars="67"/>
        <w:rPr>
          <w:rFonts w:hint="eastAsia"/>
          <w:b/>
          <w:szCs w:val="21"/>
        </w:rPr>
      </w:pPr>
      <w:r>
        <w:rPr>
          <w:rFonts w:hint="eastAsia"/>
          <w:b/>
          <w:szCs w:val="21"/>
        </w:rPr>
        <w:t>硕士</w:t>
      </w:r>
    </w:p>
    <w:p>
      <w:pPr>
        <w:ind w:left="141" w:right="-764" w:rightChars="-364" w:hanging="140" w:hangingChars="67"/>
        <w:rPr>
          <w:szCs w:val="21"/>
        </w:rPr>
      </w:pPr>
      <w:r>
        <w:rPr>
          <w:rFonts w:hint="eastAsia"/>
          <w:szCs w:val="21"/>
        </w:rPr>
        <w:t>LLM I</w:t>
      </w:r>
      <w:r>
        <w:rPr>
          <w:szCs w:val="21"/>
        </w:rPr>
        <w:t>nternational Maritime Law</w:t>
      </w:r>
      <w:r>
        <w:rPr>
          <w:rFonts w:hint="eastAsia"/>
          <w:szCs w:val="21"/>
        </w:rPr>
        <w:t xml:space="preserve"> 国际海商法</w:t>
      </w:r>
      <w:r>
        <w:rPr>
          <w:color w:val="00B0F0"/>
          <w:szCs w:val="21"/>
        </w:rPr>
        <w:t>（全英排名</w:t>
      </w:r>
      <w:r>
        <w:rPr>
          <w:rFonts w:hint="eastAsia"/>
          <w:color w:val="00B0F0"/>
          <w:szCs w:val="21"/>
        </w:rPr>
        <w:t>第一</w:t>
      </w:r>
      <w:r>
        <w:rPr>
          <w:color w:val="00B0F0"/>
          <w:szCs w:val="21"/>
        </w:rPr>
        <w:t>位）</w:t>
      </w:r>
    </w:p>
    <w:p>
      <w:pPr>
        <w:ind w:left="141" w:right="-764" w:rightChars="-364" w:hanging="140" w:hangingChars="67"/>
        <w:rPr>
          <w:szCs w:val="21"/>
        </w:rPr>
      </w:pPr>
      <w:r>
        <w:rPr>
          <w:rFonts w:hint="eastAsia"/>
          <w:szCs w:val="21"/>
        </w:rPr>
        <w:t>LLM</w:t>
      </w:r>
      <w:r>
        <w:rPr>
          <w:szCs w:val="21"/>
        </w:rPr>
        <w:t xml:space="preserve"> International Commercial Law</w:t>
      </w:r>
      <w:r>
        <w:rPr>
          <w:rFonts w:hint="eastAsia"/>
          <w:szCs w:val="21"/>
        </w:rPr>
        <w:t xml:space="preserve"> 国际商法</w:t>
      </w:r>
    </w:p>
    <w:p>
      <w:pPr>
        <w:ind w:left="141" w:right="-764" w:rightChars="-364" w:hanging="140" w:hangingChars="67"/>
        <w:rPr>
          <w:color w:val="000000"/>
          <w:szCs w:val="21"/>
        </w:rPr>
      </w:pPr>
      <w:r>
        <w:rPr>
          <w:rFonts w:hint="eastAsia"/>
          <w:szCs w:val="21"/>
        </w:rPr>
        <w:t>LLM</w:t>
      </w:r>
      <w:r>
        <w:rPr>
          <w:szCs w:val="21"/>
        </w:rPr>
        <w:t xml:space="preserve"> International</w:t>
      </w:r>
      <w:r>
        <w:rPr>
          <w:color w:val="000000"/>
          <w:szCs w:val="21"/>
        </w:rPr>
        <w:t xml:space="preserve"> </w:t>
      </w:r>
      <w:r>
        <w:rPr>
          <w:szCs w:val="21"/>
        </w:rPr>
        <w:t>Commercial and Maritime Law</w:t>
      </w:r>
      <w:r>
        <w:rPr>
          <w:rFonts w:hint="eastAsia"/>
          <w:szCs w:val="21"/>
        </w:rPr>
        <w:t xml:space="preserve"> 国际商法和海事法</w:t>
      </w:r>
    </w:p>
    <w:p>
      <w:pPr>
        <w:jc w:val="left"/>
        <w:rPr>
          <w:rFonts w:hint="eastAsia"/>
          <w:color w:val="000000"/>
          <w:szCs w:val="21"/>
        </w:rPr>
      </w:pPr>
      <w:r>
        <w:rPr>
          <w:rFonts w:hint="eastAsia"/>
          <w:szCs w:val="21"/>
        </w:rPr>
        <w:t>LLM</w:t>
      </w:r>
      <w:r>
        <w:rPr>
          <w:color w:val="000000"/>
          <w:szCs w:val="21"/>
        </w:rPr>
        <w:t xml:space="preserve"> Intellectual Property </w:t>
      </w:r>
      <w:r>
        <w:rPr>
          <w:rFonts w:hint="eastAsia"/>
          <w:color w:val="000000"/>
          <w:szCs w:val="21"/>
        </w:rPr>
        <w:t xml:space="preserve">and </w:t>
      </w:r>
      <w:r>
        <w:rPr>
          <w:color w:val="000000"/>
          <w:szCs w:val="21"/>
        </w:rPr>
        <w:t>Innovation</w:t>
      </w:r>
      <w:r>
        <w:rPr>
          <w:rFonts w:hint="eastAsia"/>
          <w:color w:val="000000"/>
          <w:szCs w:val="21"/>
        </w:rPr>
        <w:t xml:space="preserve"> 知识产权和创新</w:t>
      </w:r>
    </w:p>
    <w:p>
      <w:pPr>
        <w:ind w:left="141" w:right="-764" w:rightChars="-364" w:hanging="140" w:hangingChars="67"/>
        <w:rPr>
          <w:szCs w:val="21"/>
        </w:rPr>
      </w:pPr>
      <w:r>
        <w:rPr>
          <w:rFonts w:hint="eastAsia"/>
          <w:szCs w:val="21"/>
        </w:rPr>
        <w:t>LLM</w:t>
      </w:r>
      <w:r>
        <w:rPr>
          <w:szCs w:val="21"/>
        </w:rPr>
        <w:t xml:space="preserve"> International Trade Law</w:t>
      </w:r>
      <w:r>
        <w:rPr>
          <w:rFonts w:hint="eastAsia"/>
          <w:szCs w:val="21"/>
        </w:rPr>
        <w:t xml:space="preserve"> 国际贸易法</w:t>
      </w:r>
    </w:p>
    <w:p>
      <w:pPr>
        <w:jc w:val="left"/>
        <w:rPr>
          <w:rFonts w:hint="eastAsia"/>
          <w:color w:val="000000"/>
          <w:szCs w:val="21"/>
        </w:rPr>
      </w:pPr>
    </w:p>
    <w:p>
      <w:pPr>
        <w:ind w:right="-907" w:rightChars="-432"/>
        <w:jc w:val="left"/>
        <w:rPr>
          <w:b/>
          <w:color w:val="00B0F0"/>
          <w:szCs w:val="21"/>
        </w:rPr>
      </w:pPr>
      <w:r>
        <w:rPr>
          <w:rFonts w:cs="Arial"/>
          <w:b/>
          <w:color w:val="7030A0"/>
          <w:sz w:val="24"/>
        </w:rPr>
        <w:t>计算机科学</w:t>
      </w:r>
      <w:r>
        <w:rPr>
          <w:rFonts w:hint="eastAsia" w:cs="Arial"/>
          <w:b/>
          <w:color w:val="7030A0"/>
          <w:sz w:val="24"/>
        </w:rPr>
        <w:t xml:space="preserve"> </w:t>
      </w:r>
      <w:r>
        <w:rPr>
          <w:szCs w:val="21"/>
        </w:rPr>
        <w:t xml:space="preserve"> </w:t>
      </w:r>
      <w:r>
        <w:rPr>
          <w:color w:val="00B0F0"/>
          <w:szCs w:val="21"/>
        </w:rPr>
        <w:t>（</w:t>
      </w:r>
      <w:r>
        <w:rPr>
          <w:rFonts w:hint="eastAsia"/>
          <w:color w:val="00B0F0"/>
        </w:rPr>
        <w:t>卫报全英</w:t>
      </w:r>
      <w:r>
        <w:rPr>
          <w:color w:val="00B0F0"/>
          <w:szCs w:val="21"/>
        </w:rPr>
        <w:t>排名</w:t>
      </w:r>
      <w:r>
        <w:rPr>
          <w:rFonts w:hint="eastAsia"/>
          <w:color w:val="00B0F0"/>
        </w:rPr>
        <w:t>第</w:t>
      </w:r>
      <w:r>
        <w:rPr>
          <w:color w:val="00B0F0"/>
        </w:rPr>
        <w:t>5</w:t>
      </w:r>
      <w:r>
        <w:rPr>
          <w:rFonts w:hint="eastAsia"/>
          <w:color w:val="00B0F0"/>
        </w:rPr>
        <w:t xml:space="preserve">位, </w:t>
      </w:r>
      <w:r>
        <w:rPr>
          <w:rFonts w:hint="eastAsia"/>
          <w:color w:val="00B0F0"/>
          <w:szCs w:val="21"/>
        </w:rPr>
        <w:t>TIMES</w:t>
      </w:r>
      <w:r>
        <w:rPr>
          <w:color w:val="00B0F0"/>
          <w:szCs w:val="21"/>
        </w:rPr>
        <w:t>全英排名第</w:t>
      </w:r>
      <w:r>
        <w:rPr>
          <w:rFonts w:hint="eastAsia"/>
          <w:color w:val="00B0F0"/>
          <w:szCs w:val="21"/>
        </w:rPr>
        <w:t>7</w:t>
      </w:r>
      <w:r>
        <w:rPr>
          <w:color w:val="00B0F0"/>
          <w:szCs w:val="21"/>
        </w:rPr>
        <w:t>位</w:t>
      </w:r>
      <w:r>
        <w:rPr>
          <w:rFonts w:hint="eastAsia"/>
          <w:color w:val="00B0F0"/>
          <w:szCs w:val="21"/>
        </w:rPr>
        <w:t>, 就业率100%</w:t>
      </w:r>
      <w:r>
        <w:rPr>
          <w:color w:val="00B0F0"/>
          <w:szCs w:val="21"/>
        </w:rPr>
        <w:t>）</w:t>
      </w:r>
    </w:p>
    <w:p>
      <w:pPr>
        <w:rPr>
          <w:rFonts w:hint="eastAsia"/>
          <w:b/>
          <w:color w:val="000000"/>
          <w:szCs w:val="21"/>
        </w:rPr>
      </w:pPr>
      <w:r>
        <w:rPr>
          <w:rFonts w:hint="eastAsia"/>
          <w:b/>
          <w:color w:val="000000"/>
          <w:szCs w:val="21"/>
        </w:rPr>
        <w:t>本科</w:t>
      </w:r>
    </w:p>
    <w:p>
      <w:pPr>
        <w:numPr>
          <w:ilvl w:val="0"/>
          <w:numId w:val="8"/>
        </w:numPr>
        <w:ind w:right="-764" w:rightChars="-364"/>
        <w:rPr>
          <w:rFonts w:hint="eastAsia"/>
          <w:b/>
          <w:color w:val="000000"/>
          <w:szCs w:val="21"/>
        </w:rPr>
      </w:pPr>
      <w:r>
        <w:rPr>
          <w:rFonts w:hint="eastAsia"/>
          <w:b/>
          <w:color w:val="000000"/>
          <w:szCs w:val="21"/>
        </w:rPr>
        <w:t>以下本科专业均开设有三年制课程、含一年带薪实习的四年制课程</w:t>
      </w:r>
    </w:p>
    <w:p>
      <w:pPr>
        <w:ind w:right="-764" w:rightChars="-364"/>
        <w:rPr>
          <w:color w:val="000000"/>
          <w:szCs w:val="21"/>
        </w:rPr>
      </w:pPr>
      <w:r>
        <w:rPr>
          <w:rFonts w:hint="eastAsia"/>
          <w:color w:val="000000"/>
          <w:szCs w:val="21"/>
        </w:rPr>
        <w:t>BSc Computer Science 计算机科学</w:t>
      </w:r>
    </w:p>
    <w:p>
      <w:pPr>
        <w:ind w:right="-764" w:rightChars="-364"/>
        <w:rPr>
          <w:color w:val="000000"/>
          <w:szCs w:val="21"/>
        </w:rPr>
      </w:pPr>
      <w:r>
        <w:rPr>
          <w:rFonts w:hint="eastAsia"/>
          <w:color w:val="000000"/>
          <w:szCs w:val="21"/>
        </w:rPr>
        <w:t>BSc Software Engineering 软件工程</w:t>
      </w:r>
    </w:p>
    <w:p>
      <w:pPr>
        <w:rPr>
          <w:rFonts w:hint="eastAsia"/>
          <w:b/>
          <w:color w:val="000000"/>
          <w:szCs w:val="21"/>
        </w:rPr>
      </w:pPr>
      <w:r>
        <w:rPr>
          <w:rFonts w:hint="eastAsia"/>
          <w:b/>
          <w:color w:val="000000"/>
          <w:szCs w:val="21"/>
        </w:rPr>
        <w:t>硕士</w:t>
      </w:r>
    </w:p>
    <w:p>
      <w:pPr>
        <w:ind w:left="-6" w:leftChars="-3" w:firstLine="4" w:firstLineChars="2"/>
      </w:pPr>
      <w:r>
        <w:rPr>
          <w:color w:val="000000"/>
          <w:szCs w:val="21"/>
        </w:rPr>
        <w:t xml:space="preserve">MSc </w:t>
      </w:r>
      <w:r>
        <w:t>Computer Science</w:t>
      </w:r>
      <w:r>
        <w:rPr>
          <w:color w:val="000000"/>
          <w:szCs w:val="21"/>
        </w:rPr>
        <w:t>计算机科学（可接受非计算机专业背景学生）</w:t>
      </w:r>
    </w:p>
    <w:p>
      <w:pPr>
        <w:ind w:left="-6" w:leftChars="-3" w:firstLine="4" w:firstLineChars="2"/>
        <w:rPr>
          <w:rFonts w:hint="eastAsia"/>
        </w:rPr>
      </w:pPr>
      <w:r>
        <w:rPr>
          <w:color w:val="000000"/>
          <w:szCs w:val="21"/>
        </w:rPr>
        <w:t xml:space="preserve">MSc </w:t>
      </w:r>
      <w:r>
        <w:t>Advanced Computer Science 高</w:t>
      </w:r>
      <w:r>
        <w:rPr>
          <w:rFonts w:hint="eastAsia"/>
        </w:rPr>
        <w:t>级</w:t>
      </w:r>
      <w:r>
        <w:t>计算机科学</w:t>
      </w:r>
    </w:p>
    <w:p>
      <w:pPr>
        <w:ind w:right="-340" w:rightChars="-162"/>
      </w:pPr>
      <w:r>
        <w:t>MSc Advanced Computer Science with Industry</w:t>
      </w:r>
      <w:r>
        <w:rPr>
          <w:rFonts w:hint="eastAsia"/>
        </w:rPr>
        <w:t xml:space="preserve"> </w:t>
      </w:r>
      <w:r>
        <w:t>高</w:t>
      </w:r>
      <w:r>
        <w:rPr>
          <w:rFonts w:hint="eastAsia"/>
        </w:rPr>
        <w:t>级</w:t>
      </w:r>
      <w:r>
        <w:t>计算机科学</w:t>
      </w:r>
      <w:r>
        <w:rPr>
          <w:rFonts w:hint="eastAsia"/>
        </w:rPr>
        <w:t xml:space="preserve"> (两年制，其中</w:t>
      </w:r>
      <w:r>
        <w:rPr>
          <w:rFonts w:hint="eastAsia"/>
          <w:color w:val="FF0000"/>
        </w:rPr>
        <w:t>一年在企业实习</w:t>
      </w:r>
      <w:r>
        <w:rPr>
          <w:rFonts w:hint="eastAsia"/>
        </w:rPr>
        <w:t>)</w:t>
      </w:r>
    </w:p>
    <w:p>
      <w:pPr>
        <w:ind w:left="-6" w:leftChars="-3" w:firstLine="4" w:firstLineChars="2"/>
        <w:rPr>
          <w:rFonts w:hint="eastAsia"/>
        </w:rPr>
      </w:pPr>
      <w:r>
        <w:rPr>
          <w:rFonts w:hint="eastAsia"/>
        </w:rPr>
        <w:t>MSc Advanced Software Technology 高级软件技术</w:t>
      </w:r>
    </w:p>
    <w:p>
      <w:pPr>
        <w:ind w:left="-6" w:leftChars="-3" w:firstLine="4" w:firstLineChars="2"/>
        <w:rPr>
          <w:rFonts w:hint="eastAsia"/>
        </w:rPr>
      </w:pPr>
      <w:r>
        <w:rPr>
          <w:rFonts w:hint="eastAsia"/>
        </w:rPr>
        <w:t>MSc Data Science 数据科学</w:t>
      </w:r>
    </w:p>
    <w:p>
      <w:pPr>
        <w:rPr>
          <w:rFonts w:hint="eastAsia"/>
        </w:rPr>
      </w:pPr>
      <w:r>
        <w:t>MSc Cyber Security</w:t>
      </w:r>
      <w:r>
        <w:rPr>
          <w:rFonts w:hint="eastAsia"/>
        </w:rPr>
        <w:t xml:space="preserve"> 网络安全</w:t>
      </w:r>
    </w:p>
    <w:p>
      <w:pPr>
        <w:rPr>
          <w:rFonts w:hint="eastAsia"/>
        </w:rPr>
      </w:pPr>
      <w:r>
        <w:rPr>
          <w:rFonts w:hint="eastAsia"/>
        </w:rPr>
        <w:t>MSc Human-Centred Big Data and Artificial Intelligence 以人为中心的大数据及人工智能</w:t>
      </w:r>
    </w:p>
    <w:p>
      <w:pPr>
        <w:spacing w:line="276" w:lineRule="auto"/>
        <w:rPr>
          <w:rFonts w:hint="eastAsia"/>
          <w:b/>
          <w:sz w:val="24"/>
        </w:rPr>
      </w:pPr>
    </w:p>
    <w:p>
      <w:pPr>
        <w:rPr>
          <w:rFonts w:hint="eastAsia"/>
          <w:b/>
          <w:color w:val="00B0F0"/>
          <w:sz w:val="24"/>
          <w:lang w:val="en-GB"/>
        </w:rPr>
      </w:pPr>
      <w:r>
        <w:rPr>
          <w:rFonts w:hint="eastAsia"/>
          <w:b/>
          <w:color w:val="7030A0"/>
          <w:sz w:val="24"/>
          <w:lang w:val="en-GB"/>
        </w:rPr>
        <w:t xml:space="preserve">数学 </w:t>
      </w:r>
      <w:r>
        <w:rPr>
          <w:rFonts w:hint="eastAsia"/>
          <w:color w:val="00B0F0"/>
        </w:rPr>
        <w:t>（全英排名第18位）</w:t>
      </w:r>
    </w:p>
    <w:p>
      <w:pPr>
        <w:rPr>
          <w:rFonts w:hint="eastAsia"/>
          <w:b/>
          <w:color w:val="000000"/>
          <w:szCs w:val="21"/>
        </w:rPr>
      </w:pPr>
      <w:r>
        <w:rPr>
          <w:rFonts w:hint="eastAsia"/>
          <w:b/>
          <w:color w:val="000000"/>
          <w:szCs w:val="21"/>
        </w:rPr>
        <w:t>本科</w:t>
      </w:r>
    </w:p>
    <w:p>
      <w:pPr>
        <w:rPr>
          <w:rFonts w:hint="eastAsia"/>
          <w:szCs w:val="21"/>
          <w:lang w:val="en-GB"/>
        </w:rPr>
      </w:pPr>
      <w:r>
        <w:rPr>
          <w:rFonts w:hint="eastAsia"/>
          <w:color w:val="000000"/>
          <w:szCs w:val="21"/>
        </w:rPr>
        <w:t>BSc</w:t>
      </w:r>
      <w:r>
        <w:rPr>
          <w:szCs w:val="21"/>
          <w:lang w:val="en-GB"/>
        </w:rPr>
        <w:t xml:space="preserve"> Mathematics</w:t>
      </w:r>
      <w:r>
        <w:rPr>
          <w:rFonts w:hint="eastAsia"/>
          <w:szCs w:val="21"/>
          <w:lang w:val="en-GB"/>
        </w:rPr>
        <w:t xml:space="preserve"> 数学</w:t>
      </w:r>
    </w:p>
    <w:p>
      <w:pPr>
        <w:rPr>
          <w:szCs w:val="21"/>
          <w:lang w:val="en-GB"/>
        </w:rPr>
      </w:pPr>
      <w:r>
        <w:rPr>
          <w:rFonts w:hint="eastAsia"/>
          <w:color w:val="000000"/>
          <w:szCs w:val="21"/>
        </w:rPr>
        <w:t>BSc</w:t>
      </w:r>
      <w:r>
        <w:t xml:space="preserve"> Actuarial Science</w:t>
      </w:r>
      <w:r>
        <w:rPr>
          <w:rFonts w:hint="eastAsia"/>
        </w:rPr>
        <w:t xml:space="preserve"> 精算学</w:t>
      </w:r>
    </w:p>
    <w:p>
      <w:pPr>
        <w:rPr>
          <w:rFonts w:hint="eastAsia"/>
          <w:szCs w:val="21"/>
          <w:lang w:val="en-GB"/>
        </w:rPr>
      </w:pPr>
      <w:r>
        <w:rPr>
          <w:rFonts w:hint="eastAsia"/>
          <w:color w:val="000000"/>
          <w:szCs w:val="21"/>
        </w:rPr>
        <w:t>BSc</w:t>
      </w:r>
      <w:r>
        <w:rPr>
          <w:szCs w:val="21"/>
          <w:lang w:val="en-GB"/>
        </w:rPr>
        <w:t xml:space="preserve"> Mathematics</w:t>
      </w:r>
      <w:r>
        <w:rPr>
          <w:rFonts w:hint="eastAsia"/>
          <w:szCs w:val="21"/>
          <w:lang w:val="en-GB"/>
        </w:rPr>
        <w:t xml:space="preserve"> for Finance 金融数学（金融工程）</w:t>
      </w:r>
    </w:p>
    <w:p>
      <w:pPr>
        <w:numPr>
          <w:ilvl w:val="0"/>
          <w:numId w:val="8"/>
        </w:numPr>
        <w:ind w:right="-764" w:rightChars="-364"/>
        <w:rPr>
          <w:szCs w:val="21"/>
        </w:rPr>
      </w:pPr>
      <w:r>
        <w:rPr>
          <w:rFonts w:hint="eastAsia"/>
          <w:b/>
          <w:color w:val="000000"/>
          <w:szCs w:val="21"/>
        </w:rPr>
        <w:t>以上3个本科专业均开设有三年制课程、含一年带薪实习的四年制课程</w:t>
      </w:r>
    </w:p>
    <w:p>
      <w:pPr>
        <w:rPr>
          <w:szCs w:val="21"/>
          <w:lang w:val="en-GB"/>
        </w:rPr>
      </w:pPr>
      <w:r>
        <w:rPr>
          <w:rFonts w:hint="eastAsia"/>
          <w:color w:val="000000"/>
          <w:szCs w:val="21"/>
        </w:rPr>
        <w:t>BSc</w:t>
      </w:r>
      <w:r>
        <w:rPr>
          <w:rFonts w:hint="eastAsia"/>
          <w:szCs w:val="21"/>
          <w:lang w:val="en-GB"/>
        </w:rPr>
        <w:t xml:space="preserve"> Pure </w:t>
      </w:r>
      <w:r>
        <w:rPr>
          <w:szCs w:val="21"/>
          <w:lang w:val="en-GB"/>
        </w:rPr>
        <w:t>Mathematics</w:t>
      </w:r>
      <w:r>
        <w:rPr>
          <w:rFonts w:hint="eastAsia"/>
          <w:szCs w:val="21"/>
          <w:lang w:val="en-GB"/>
        </w:rPr>
        <w:t xml:space="preserve"> 纯数学</w:t>
      </w:r>
    </w:p>
    <w:p>
      <w:pPr>
        <w:rPr>
          <w:szCs w:val="21"/>
          <w:lang w:val="en-GB"/>
        </w:rPr>
      </w:pPr>
      <w:r>
        <w:rPr>
          <w:rFonts w:hint="eastAsia"/>
          <w:color w:val="000000"/>
          <w:szCs w:val="21"/>
        </w:rPr>
        <w:t>BSc</w:t>
      </w:r>
      <w:r>
        <w:rPr>
          <w:szCs w:val="21"/>
          <w:lang w:val="en-GB"/>
        </w:rPr>
        <w:t xml:space="preserve"> A</w:t>
      </w:r>
      <w:r>
        <w:rPr>
          <w:rFonts w:hint="eastAsia"/>
          <w:szCs w:val="21"/>
          <w:lang w:val="en-GB"/>
        </w:rPr>
        <w:t xml:space="preserve">pplied </w:t>
      </w:r>
      <w:r>
        <w:rPr>
          <w:szCs w:val="21"/>
          <w:lang w:val="en-GB"/>
        </w:rPr>
        <w:t>Mathematics</w:t>
      </w:r>
      <w:r>
        <w:rPr>
          <w:rFonts w:hint="eastAsia"/>
          <w:szCs w:val="21"/>
          <w:lang w:val="en-GB"/>
        </w:rPr>
        <w:t xml:space="preserve"> 应用数学</w:t>
      </w:r>
    </w:p>
    <w:p>
      <w:pPr>
        <w:rPr>
          <w:rFonts w:hint="eastAsia"/>
          <w:b/>
          <w:szCs w:val="21"/>
          <w:lang w:val="en-GB"/>
        </w:rPr>
      </w:pPr>
      <w:r>
        <w:rPr>
          <w:rFonts w:hint="eastAsia"/>
          <w:b/>
          <w:color w:val="000000"/>
          <w:szCs w:val="21"/>
        </w:rPr>
        <w:t>硕士</w:t>
      </w:r>
    </w:p>
    <w:p>
      <w:pPr>
        <w:rPr>
          <w:rFonts w:hint="eastAsia"/>
          <w:szCs w:val="21"/>
        </w:rPr>
      </w:pPr>
      <w:r>
        <w:rPr>
          <w:rFonts w:hint="eastAsia"/>
          <w:color w:val="000000"/>
          <w:szCs w:val="21"/>
        </w:rPr>
        <w:t xml:space="preserve">MSc </w:t>
      </w:r>
      <w:r>
        <w:rPr>
          <w:szCs w:val="21"/>
        </w:rPr>
        <w:t>Mathematics and Computing for Finance</w:t>
      </w:r>
      <w:r>
        <w:rPr>
          <w:rFonts w:hint="eastAsia"/>
          <w:szCs w:val="21"/>
        </w:rPr>
        <w:t xml:space="preserve"> 金融数学和计算机</w:t>
      </w:r>
    </w:p>
    <w:p>
      <w:pPr>
        <w:spacing w:line="276" w:lineRule="auto"/>
        <w:rPr>
          <w:rFonts w:hint="eastAsia"/>
          <w:szCs w:val="21"/>
        </w:rPr>
      </w:pPr>
      <w:r>
        <w:rPr>
          <w:rFonts w:hint="eastAsia"/>
          <w:color w:val="000000"/>
          <w:szCs w:val="21"/>
        </w:rPr>
        <w:t xml:space="preserve">MSc </w:t>
      </w:r>
      <w:r>
        <w:rPr>
          <w:szCs w:val="21"/>
        </w:rPr>
        <w:t>Mathematics</w:t>
      </w:r>
      <w:r>
        <w:rPr>
          <w:rFonts w:hint="eastAsia"/>
          <w:szCs w:val="21"/>
        </w:rPr>
        <w:t xml:space="preserve"> 数学</w:t>
      </w:r>
    </w:p>
    <w:p>
      <w:pPr>
        <w:spacing w:line="276" w:lineRule="auto"/>
        <w:rPr>
          <w:rFonts w:hint="eastAsia"/>
          <w:b/>
          <w:sz w:val="24"/>
        </w:rPr>
      </w:pP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15CD"/>
    <w:multiLevelType w:val="multilevel"/>
    <w:tmpl w:val="0C7815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FB47FD8"/>
    <w:multiLevelType w:val="multilevel"/>
    <w:tmpl w:val="1FB47FD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A9C410F"/>
    <w:multiLevelType w:val="multilevel"/>
    <w:tmpl w:val="3A9C4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0912045"/>
    <w:multiLevelType w:val="multilevel"/>
    <w:tmpl w:val="509120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B9030C"/>
    <w:multiLevelType w:val="multilevel"/>
    <w:tmpl w:val="50B9030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19F4F5B"/>
    <w:multiLevelType w:val="multilevel"/>
    <w:tmpl w:val="619F4F5B"/>
    <w:lvl w:ilvl="0" w:tentative="0">
      <w:start w:val="1"/>
      <w:numFmt w:val="bullet"/>
      <w:lvlText w:val=""/>
      <w:lvlJc w:val="left"/>
      <w:pPr>
        <w:ind w:left="422" w:hanging="420"/>
      </w:pPr>
      <w:rPr>
        <w:rFonts w:hint="default" w:ascii="Wingdings" w:hAnsi="Wingdings"/>
      </w:rPr>
    </w:lvl>
    <w:lvl w:ilvl="1" w:tentative="0">
      <w:start w:val="1"/>
      <w:numFmt w:val="bullet"/>
      <w:lvlText w:val=""/>
      <w:lvlJc w:val="left"/>
      <w:pPr>
        <w:ind w:left="842" w:hanging="420"/>
      </w:pPr>
      <w:rPr>
        <w:rFonts w:hint="default" w:ascii="Wingdings" w:hAnsi="Wingdings"/>
      </w:rPr>
    </w:lvl>
    <w:lvl w:ilvl="2" w:tentative="0">
      <w:start w:val="1"/>
      <w:numFmt w:val="bullet"/>
      <w:lvlText w:val=""/>
      <w:lvlJc w:val="left"/>
      <w:pPr>
        <w:ind w:left="1262" w:hanging="420"/>
      </w:pPr>
      <w:rPr>
        <w:rFonts w:hint="default" w:ascii="Wingdings" w:hAnsi="Wingdings"/>
      </w:rPr>
    </w:lvl>
    <w:lvl w:ilvl="3" w:tentative="0">
      <w:start w:val="1"/>
      <w:numFmt w:val="bullet"/>
      <w:lvlText w:val=""/>
      <w:lvlJc w:val="left"/>
      <w:pPr>
        <w:ind w:left="1682" w:hanging="420"/>
      </w:pPr>
      <w:rPr>
        <w:rFonts w:hint="default" w:ascii="Wingdings" w:hAnsi="Wingdings"/>
      </w:rPr>
    </w:lvl>
    <w:lvl w:ilvl="4" w:tentative="0">
      <w:start w:val="1"/>
      <w:numFmt w:val="bullet"/>
      <w:lvlText w:val=""/>
      <w:lvlJc w:val="left"/>
      <w:pPr>
        <w:ind w:left="2102" w:hanging="420"/>
      </w:pPr>
      <w:rPr>
        <w:rFonts w:hint="default" w:ascii="Wingdings" w:hAnsi="Wingdings"/>
      </w:rPr>
    </w:lvl>
    <w:lvl w:ilvl="5" w:tentative="0">
      <w:start w:val="1"/>
      <w:numFmt w:val="bullet"/>
      <w:lvlText w:val=""/>
      <w:lvlJc w:val="left"/>
      <w:pPr>
        <w:ind w:left="2522" w:hanging="420"/>
      </w:pPr>
      <w:rPr>
        <w:rFonts w:hint="default" w:ascii="Wingdings" w:hAnsi="Wingdings"/>
      </w:rPr>
    </w:lvl>
    <w:lvl w:ilvl="6" w:tentative="0">
      <w:start w:val="1"/>
      <w:numFmt w:val="bullet"/>
      <w:lvlText w:val=""/>
      <w:lvlJc w:val="left"/>
      <w:pPr>
        <w:ind w:left="2942" w:hanging="420"/>
      </w:pPr>
      <w:rPr>
        <w:rFonts w:hint="default" w:ascii="Wingdings" w:hAnsi="Wingdings"/>
      </w:rPr>
    </w:lvl>
    <w:lvl w:ilvl="7" w:tentative="0">
      <w:start w:val="1"/>
      <w:numFmt w:val="bullet"/>
      <w:lvlText w:val=""/>
      <w:lvlJc w:val="left"/>
      <w:pPr>
        <w:ind w:left="3362" w:hanging="420"/>
      </w:pPr>
      <w:rPr>
        <w:rFonts w:hint="default" w:ascii="Wingdings" w:hAnsi="Wingdings"/>
      </w:rPr>
    </w:lvl>
    <w:lvl w:ilvl="8" w:tentative="0">
      <w:start w:val="1"/>
      <w:numFmt w:val="bullet"/>
      <w:lvlText w:val=""/>
      <w:lvlJc w:val="left"/>
      <w:pPr>
        <w:ind w:left="3782" w:hanging="420"/>
      </w:pPr>
      <w:rPr>
        <w:rFonts w:hint="default" w:ascii="Wingdings" w:hAnsi="Wingdings"/>
      </w:rPr>
    </w:lvl>
  </w:abstractNum>
  <w:abstractNum w:abstractNumId="6">
    <w:nsid w:val="6D204244"/>
    <w:multiLevelType w:val="multilevel"/>
    <w:tmpl w:val="6D204244"/>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5074C8B"/>
    <w:multiLevelType w:val="multilevel"/>
    <w:tmpl w:val="75074C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F3289"/>
    <w:rsid w:val="00035D3E"/>
    <w:rsid w:val="00065298"/>
    <w:rsid w:val="000859FF"/>
    <w:rsid w:val="000B000A"/>
    <w:rsid w:val="000D04F3"/>
    <w:rsid w:val="000D377C"/>
    <w:rsid w:val="00104A35"/>
    <w:rsid w:val="0010775C"/>
    <w:rsid w:val="00112E4B"/>
    <w:rsid w:val="00130500"/>
    <w:rsid w:val="00146D45"/>
    <w:rsid w:val="001521E1"/>
    <w:rsid w:val="001E20D4"/>
    <w:rsid w:val="001F19C0"/>
    <w:rsid w:val="00215651"/>
    <w:rsid w:val="002251C9"/>
    <w:rsid w:val="00245F58"/>
    <w:rsid w:val="002550C1"/>
    <w:rsid w:val="002722D8"/>
    <w:rsid w:val="002724F3"/>
    <w:rsid w:val="0028332A"/>
    <w:rsid w:val="00290284"/>
    <w:rsid w:val="002B192F"/>
    <w:rsid w:val="002B5A58"/>
    <w:rsid w:val="002D3831"/>
    <w:rsid w:val="002F3E63"/>
    <w:rsid w:val="00310880"/>
    <w:rsid w:val="00316509"/>
    <w:rsid w:val="00330C19"/>
    <w:rsid w:val="00347C09"/>
    <w:rsid w:val="00372BEC"/>
    <w:rsid w:val="003B0AEA"/>
    <w:rsid w:val="003E34CD"/>
    <w:rsid w:val="003E787E"/>
    <w:rsid w:val="0040237E"/>
    <w:rsid w:val="00426AE7"/>
    <w:rsid w:val="00444AD9"/>
    <w:rsid w:val="00451737"/>
    <w:rsid w:val="0046194C"/>
    <w:rsid w:val="00464F6C"/>
    <w:rsid w:val="004804A1"/>
    <w:rsid w:val="004A7B33"/>
    <w:rsid w:val="004D57A7"/>
    <w:rsid w:val="004E51C6"/>
    <w:rsid w:val="005732E9"/>
    <w:rsid w:val="005D78C6"/>
    <w:rsid w:val="005E7A4B"/>
    <w:rsid w:val="006230D6"/>
    <w:rsid w:val="00634D5A"/>
    <w:rsid w:val="006366FC"/>
    <w:rsid w:val="006849D1"/>
    <w:rsid w:val="00695EB5"/>
    <w:rsid w:val="006B60D0"/>
    <w:rsid w:val="006C3A85"/>
    <w:rsid w:val="006D54F7"/>
    <w:rsid w:val="006E5B48"/>
    <w:rsid w:val="00715C5B"/>
    <w:rsid w:val="0072296E"/>
    <w:rsid w:val="00737403"/>
    <w:rsid w:val="00795476"/>
    <w:rsid w:val="007C1B58"/>
    <w:rsid w:val="007F2C3D"/>
    <w:rsid w:val="00815D36"/>
    <w:rsid w:val="00830F5A"/>
    <w:rsid w:val="00843636"/>
    <w:rsid w:val="0087764B"/>
    <w:rsid w:val="00894A01"/>
    <w:rsid w:val="00896561"/>
    <w:rsid w:val="008F56C4"/>
    <w:rsid w:val="00901092"/>
    <w:rsid w:val="009235BB"/>
    <w:rsid w:val="00971009"/>
    <w:rsid w:val="009A38A6"/>
    <w:rsid w:val="009F3762"/>
    <w:rsid w:val="00A3003E"/>
    <w:rsid w:val="00A42083"/>
    <w:rsid w:val="00A71CCF"/>
    <w:rsid w:val="00A80F59"/>
    <w:rsid w:val="00A86A55"/>
    <w:rsid w:val="00A94360"/>
    <w:rsid w:val="00AA70FE"/>
    <w:rsid w:val="00AF19C3"/>
    <w:rsid w:val="00AF4EB4"/>
    <w:rsid w:val="00B1244E"/>
    <w:rsid w:val="00B144FD"/>
    <w:rsid w:val="00B2002B"/>
    <w:rsid w:val="00B2790B"/>
    <w:rsid w:val="00B4043E"/>
    <w:rsid w:val="00B4288D"/>
    <w:rsid w:val="00B9302D"/>
    <w:rsid w:val="00BF29E3"/>
    <w:rsid w:val="00BF6BF6"/>
    <w:rsid w:val="00C34CB5"/>
    <w:rsid w:val="00C37F5C"/>
    <w:rsid w:val="00C50971"/>
    <w:rsid w:val="00CA0C86"/>
    <w:rsid w:val="00CE441A"/>
    <w:rsid w:val="00CF2EF7"/>
    <w:rsid w:val="00CF3289"/>
    <w:rsid w:val="00D50C9A"/>
    <w:rsid w:val="00D553CE"/>
    <w:rsid w:val="00DB15C3"/>
    <w:rsid w:val="00DC0417"/>
    <w:rsid w:val="00DD084E"/>
    <w:rsid w:val="00DD5D22"/>
    <w:rsid w:val="00DE0ECF"/>
    <w:rsid w:val="00DF0BB0"/>
    <w:rsid w:val="00E11083"/>
    <w:rsid w:val="00E1352B"/>
    <w:rsid w:val="00E15F79"/>
    <w:rsid w:val="00E2373C"/>
    <w:rsid w:val="00E34A01"/>
    <w:rsid w:val="00E3577C"/>
    <w:rsid w:val="00E645E5"/>
    <w:rsid w:val="00E70325"/>
    <w:rsid w:val="00EB105F"/>
    <w:rsid w:val="00EB1684"/>
    <w:rsid w:val="00EC1F1A"/>
    <w:rsid w:val="00ED1309"/>
    <w:rsid w:val="00EE1277"/>
    <w:rsid w:val="00EE2D5A"/>
    <w:rsid w:val="00EF0BD2"/>
    <w:rsid w:val="00F10F6E"/>
    <w:rsid w:val="00F2550F"/>
    <w:rsid w:val="00F26D22"/>
    <w:rsid w:val="00F52451"/>
    <w:rsid w:val="00F652EF"/>
    <w:rsid w:val="00F85BEF"/>
    <w:rsid w:val="00FC17B3"/>
    <w:rsid w:val="00FC7DA3"/>
    <w:rsid w:val="01B52D7C"/>
    <w:rsid w:val="11E54D8B"/>
    <w:rsid w:val="255A64BB"/>
    <w:rsid w:val="41151E44"/>
    <w:rsid w:val="47050CEC"/>
    <w:rsid w:val="5C0D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33" w:after="33"/>
      <w:jc w:val="left"/>
    </w:pPr>
    <w:rPr>
      <w:rFonts w:ascii="宋体" w:hAnsi="宋体" w:eastAsia="宋体" w:cs="Times New Roman"/>
      <w:kern w:val="0"/>
      <w:sz w:val="24"/>
      <w:szCs w:val="24"/>
    </w:rPr>
  </w:style>
  <w:style w:type="character" w:styleId="8">
    <w:name w:val="Hyperlink"/>
    <w:basedOn w:val="7"/>
    <w:unhideWhenUsed/>
    <w:qFormat/>
    <w:uiPriority w:val="99"/>
    <w:rPr>
      <w:color w:val="0000FF"/>
      <w:u w:val="single"/>
    </w:rPr>
  </w:style>
  <w:style w:type="character" w:customStyle="1" w:styleId="9">
    <w:name w:val="apple-converted-space"/>
    <w:basedOn w:val="7"/>
    <w:qFormat/>
    <w:uiPriority w:val="0"/>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qFormat/>
    <w:uiPriority w:val="34"/>
    <w:pPr>
      <w:ind w:firstLine="420" w:firstLineChars="200"/>
    </w:pPr>
  </w:style>
  <w:style w:type="paragraph" w:styleId="13">
    <w:name w:val="No Spacing"/>
    <w:qFormat/>
    <w:uiPriority w:val="1"/>
    <w:pPr>
      <w:widowControl w:val="0"/>
      <w:ind w:firstLine="200" w:firstLineChars="200"/>
      <w:jc w:val="both"/>
    </w:pPr>
    <w:rPr>
      <w:rFonts w:ascii="Calibri" w:hAnsi="Calibri" w:eastAsia="宋体" w:cs="Times New Roman"/>
      <w:kern w:val="2"/>
      <w:sz w:val="21"/>
      <w:szCs w:val="22"/>
      <w:lang w:val="en-US" w:eastAsia="zh-CN" w:bidi="ar-SA"/>
    </w:rPr>
  </w:style>
  <w:style w:type="character" w:customStyle="1" w:styleId="14">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1332</Words>
  <Characters>7598</Characters>
  <Lines>63</Lines>
  <Paragraphs>17</Paragraphs>
  <TotalTime>192</TotalTime>
  <ScaleCrop>false</ScaleCrop>
  <LinksUpToDate>false</LinksUpToDate>
  <CharactersWithSpaces>8913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2021-09-13T02:56:00Z</dcterms:created>
  <dc:creator>zhanglei</dc:creator>
  <cp:lastModifiedBy>Coco1419336024</cp:lastModifiedBy>
  <dcterms:modified xsi:type="dcterms:W3CDTF">2022-02-25T00:46:46Z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616A8129BF9B4B1EB6FD3BD54E28E39A</vt:lpwstr>
  </property>
</Properties>
</file>