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sz w:val="23"/>
          <w:szCs w:val="23"/>
          <w:highlight w:val="none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西班牙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巴塞罗那自治大学</w:t>
      </w: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交换生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一、学校概述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巴塞罗那自治大学(Universidad Autónoma de Barcelona)创校40余年来，不断致力于国际化发展，在研究与教学领域里的出色表现，不但傲居西班牙之冠，更被公认为欧洲最优秀的大学之一；在201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  <w:t>泰晤士报世界大学排名中，巴塞罗那自治大学位列世界第14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  <w:t>巴塞罗那自治大学创立于1968年，位于西班牙东北部的海港城市巴塞罗那。是一所年轻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  <w:t>现代化大学，共有30个学院，53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个系，9个图书馆，现设有78个本科课程，88个博士生项目与183个官</w:t>
      </w:r>
      <w:bookmarkStart w:id="0" w:name="page3"/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>方硕士和334个校际硕士课程。学校有47,489名学生，教师和研究人员3134名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以及行政管理人员与服务人员共2504名。巴自治属于综合性大学，在众多学科中，以经济企管类为最著名，排名全国第一。根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据2006年3月出版的美国专业杂志The Scientist（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科学家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）的评估，巴塞罗那自治大学的博士后研究课程排名全球（除美国本土的学院以外）第34位，是西班牙全国公私立大学中唯一进入全球前35名的大学。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巴塞罗那自治大学在西班牙拥有三个校区，Bellaterra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Sabadell和Sant Pau。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大学校区广阔，占地260公顷，绿树成荫，绿草如茵，环境优美宜人，拥有教研中心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科研机构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图书馆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实验室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学生及教员宿舍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各院校学生餐厅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旅游学院所属学生实习用星级酒店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以及各种商业和卫生服务设施，是一座设备齐全，学风淳朴优良，充满活力的大学城。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二、巴塞罗那自治大学优势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1、巴自治位于西班牙美丽的海港城市巴塞罗那，这里经济发达，环境优美，是学习和生活的理想城市；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、学校科研水平及教学水平在西班牙名列前茅，其综合排名位列西班牙第二；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、经济学、企业管理学是巴自治的王牌专业，在世界上享有盛誉；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、巴自治位于西班牙经济条件最好的加泰罗尼亚大区，可以为学生们提供更多的实习及就业机会；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、学校专业设置紧跟市场潮流，学以致用，学有所用是巴自治的办学理念。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三、项目简介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巴塞罗那自治大学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交换生项目是该校为国外</w:t>
      </w:r>
      <w:bookmarkStart w:id="1" w:name="page4"/>
      <w:bookmarkEnd w:id="1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西班牙语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专业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经济管理类专业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及英语类专业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学生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提供的为期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  <w:t>一学期至一学年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的交流交换项目。学生可根据自身专业、特长选择课程学习。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巴塞罗那自治大学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交换生项目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供三种课程类型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eastAsia="zh-CN"/>
        </w:rPr>
        <w:t>可选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分别为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西班牙语语言文化课程，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国际生专业课程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>当地本科生课程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  <w:lang w:eastAsia="zh-CN"/>
        </w:rPr>
        <w:t>具体课程介绍如下：</w:t>
      </w:r>
      <w:bookmarkStart w:id="2" w:name="_GoBack"/>
      <w:bookmarkEnd w:id="2"/>
    </w:p>
    <w:tbl>
      <w:tblPr>
        <w:tblStyle w:val="7"/>
        <w:tblpPr w:leftFromText="180" w:rightFromText="180" w:vertAnchor="text" w:horzAnchor="page" w:tblpX="1100" w:tblpY="310"/>
        <w:tblOverlap w:val="never"/>
        <w:tblW w:w="10577" w:type="dxa"/>
        <w:tblCellSpacing w:w="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233"/>
        <w:gridCol w:w="2915"/>
        <w:gridCol w:w="292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442" w:type="dxa"/>
            <w:tcBorders>
              <w:insideH w:val="nil"/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3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>西班牙语语言文化课程</w:t>
            </w:r>
          </w:p>
        </w:tc>
        <w:tc>
          <w:tcPr>
            <w:tcW w:w="2875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>国际生专业课程</w:t>
            </w: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lang w:eastAsia="zh-CN"/>
              </w:rPr>
              <w:t>班</w:t>
            </w:r>
          </w:p>
        </w:tc>
        <w:tc>
          <w:tcPr>
            <w:tcW w:w="2867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>当地本科生课程</w:t>
            </w: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442" w:type="dxa"/>
            <w:tcBorders>
              <w:insideH w:val="nil"/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>课程介绍</w:t>
            </w:r>
          </w:p>
        </w:tc>
        <w:tc>
          <w:tcPr>
            <w:tcW w:w="3193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本课程将系统学习西班牙语语法，听力，写作，阅读，文化及历史</w:t>
            </w:r>
          </w:p>
        </w:tc>
        <w:tc>
          <w:tcPr>
            <w:tcW w:w="2875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本课程是专门针对国际学生所开设的涉及经济，商业，艺术，人文等几大领域的课程，学生可根据学校要求及个人兴趣选择学习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，并与其他国际学生一起上课。</w:t>
            </w:r>
          </w:p>
        </w:tc>
        <w:tc>
          <w:tcPr>
            <w:tcW w:w="2867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本课程是巴塞罗那自治大学普通本科生课程，涉及所有专业领域。学生可根据学校要求及个人兴趣选择学习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，并与当地学生一起上课。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442" w:type="dxa"/>
            <w:tcBorders>
              <w:insideH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>入学要求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任何等级均可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西班牙语B2或英语B2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西班牙语B2或英语B2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442" w:type="dxa"/>
            <w:tcBorders>
              <w:insideH w:val="nil"/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>等级测试方式</w:t>
            </w:r>
          </w:p>
        </w:tc>
        <w:tc>
          <w:tcPr>
            <w:tcW w:w="3193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巴自治校内测试</w:t>
            </w:r>
          </w:p>
        </w:tc>
        <w:tc>
          <w:tcPr>
            <w:tcW w:w="2875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巴自治校内测试</w:t>
            </w: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楷体" w:hAnsi="楷体" w:eastAsia="楷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雅思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val="en-US" w:eastAsia="zh-CN"/>
              </w:rPr>
              <w:t>6分或者托福78分以上</w:t>
            </w:r>
          </w:p>
        </w:tc>
        <w:tc>
          <w:tcPr>
            <w:tcW w:w="2867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巴自治校内测试</w:t>
            </w: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雅思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val="en-US" w:eastAsia="zh-CN"/>
              </w:rPr>
              <w:t>6分或者托福78分以上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442" w:type="dxa"/>
            <w:tcBorders>
              <w:insideH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>修学要求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楷体" w:hAnsi="楷体" w:eastAsia="楷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每学期修满320学时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val="en-US" w:eastAsia="zh-CN"/>
              </w:rPr>
              <w:t>30学分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楷体" w:hAnsi="楷体" w:eastAsia="楷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每学期至少修满</w:t>
            </w:r>
            <w:r>
              <w:rPr>
                <w:rFonts w:ascii="楷体" w:hAnsi="楷体" w:eastAsia="楷体"/>
                <w:sz w:val="22"/>
                <w:szCs w:val="22"/>
                <w:highlight w:val="none"/>
              </w:rPr>
              <w:t>24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学分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，至多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val="en-US" w:eastAsia="zh-CN"/>
              </w:rPr>
              <w:t>36学分（4-6门课程）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每学期至少修满</w:t>
            </w:r>
            <w:r>
              <w:rPr>
                <w:rFonts w:ascii="楷体" w:hAnsi="楷体" w:eastAsia="楷体"/>
                <w:sz w:val="22"/>
                <w:szCs w:val="22"/>
                <w:highlight w:val="none"/>
              </w:rPr>
              <w:t>24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学分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，至多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val="en-US" w:eastAsia="zh-CN"/>
              </w:rPr>
              <w:t>36学分（4-6门课程）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442" w:type="dxa"/>
            <w:tcBorders>
              <w:insideH w:val="nil"/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>费用</w:t>
            </w:r>
          </w:p>
        </w:tc>
        <w:tc>
          <w:tcPr>
            <w:tcW w:w="3193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3</w:t>
            </w:r>
            <w:r>
              <w:rPr>
                <w:rFonts w:ascii="楷体" w:hAnsi="楷体" w:eastAsia="楷体"/>
                <w:sz w:val="22"/>
                <w:szCs w:val="22"/>
                <w:highlight w:val="none"/>
              </w:rPr>
              <w:t>84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0欧元/学期</w:t>
            </w:r>
          </w:p>
        </w:tc>
        <w:tc>
          <w:tcPr>
            <w:tcW w:w="2875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约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120欧元/学分</w:t>
            </w: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（因选课不同略有差别）</w:t>
            </w:r>
          </w:p>
        </w:tc>
        <w:tc>
          <w:tcPr>
            <w:tcW w:w="2867" w:type="dxa"/>
            <w:tcBorders>
              <w:insideV w:val="single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约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欧元/学分</w:t>
            </w:r>
          </w:p>
          <w:p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（因选课不同略有差别）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442" w:type="dxa"/>
            <w:tcBorders>
              <w:insideH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i w:val="0"/>
                <w:i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i w:val="0"/>
                <w:iCs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若学生不能达到B</w:t>
            </w:r>
            <w:r>
              <w:rPr>
                <w:rFonts w:ascii="楷体" w:hAnsi="楷体" w:eastAsia="楷体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水平，可在巴自治语言中心学习，然后进入本课程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（西语授课）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2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left"/>
              <w:rPr>
                <w:rFonts w:ascii="楷体" w:hAnsi="楷体" w:eastAsia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若学生不能达到B2水平，可在巴自治语言中心学习，然后进入本课程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  <w:lang w:eastAsia="zh-CN"/>
              </w:rPr>
              <w:t>（西语授课）</w:t>
            </w:r>
            <w:r>
              <w:rPr>
                <w:rFonts w:hint="eastAsia" w:ascii="楷体" w:hAnsi="楷体" w:eastAsia="楷体"/>
                <w:sz w:val="22"/>
                <w:szCs w:val="22"/>
                <w:highlight w:val="none"/>
              </w:rPr>
              <w:t>。</w:t>
            </w:r>
          </w:p>
        </w:tc>
      </w:tr>
    </w:tbl>
    <w:p>
      <w:pPr>
        <w:spacing w:line="239" w:lineRule="auto"/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</w:pPr>
    </w:p>
    <w:p>
      <w:pPr>
        <w:spacing w:line="310" w:lineRule="exact"/>
        <w:rPr>
          <w:rFonts w:ascii="楷体" w:hAnsi="楷体" w:eastAsia="楷体" w:cs="楷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项目特色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 学生获得国外高水平大学的学习经历；</w:t>
      </w:r>
    </w:p>
    <w:p>
      <w:pPr>
        <w:spacing w:line="360" w:lineRule="auto"/>
        <w:ind w:left="1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 与国外高水平大学建立合作交流关系，增加学校优质交换项目；</w:t>
      </w:r>
    </w:p>
    <w:p>
      <w:pPr>
        <w:spacing w:line="360" w:lineRule="auto"/>
        <w:ind w:left="1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 学生与不同国家学生共同学习，增进文化交流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机会；</w:t>
      </w:r>
    </w:p>
    <w:p>
      <w:pPr>
        <w:spacing w:line="360" w:lineRule="auto"/>
        <w:ind w:left="1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 留学费用低廉，物价水平类似中国一线城市；</w:t>
      </w:r>
    </w:p>
    <w:p>
      <w:pPr>
        <w:spacing w:line="360" w:lineRule="auto"/>
        <w:ind w:left="1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 掌握一门小语种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西班牙语人才在中国就业市场深受追捧。</w:t>
      </w:r>
    </w:p>
    <w:p>
      <w:pPr>
        <w:spacing w:line="360" w:lineRule="auto"/>
        <w:ind w:left="180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五、开学时间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学习时间：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秋季学期：9月初-12月中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春季学期：1月中-7月初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2、报名选课时间：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秋季学期：3月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月中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春季学期：9月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初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-10月中；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项目费用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1、报名费及项目管理费：8000元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2、注册费：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西班牙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语言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课程：3840欧元/学期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2）其他专业课程：约3000欧元/学期，具体费用因注册课程有所区别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3、生活费（含食宿）：自理，约4000人民币/月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（以个人实际消费情况为准）；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4、往返机票费：自理，约5000人民币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5、境外保险费：自理，约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人民币/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月（西班牙使馆要求医疗全险，包含门诊、急诊、手术、住院、检查等所有医疗项目）；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6、签证费：自理，约1000元人民币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175"/>
        </w:tabs>
        <w:spacing w:line="360" w:lineRule="auto"/>
        <w:ind w:firstLine="230" w:firstLineChars="100"/>
        <w:rPr>
          <w:rFonts w:hint="eastAsia" w:ascii="宋体" w:hAnsi="宋体" w:eastAsia="宋体" w:cs="宋体"/>
          <w:color w:val="0000FF"/>
          <w:sz w:val="23"/>
          <w:szCs w:val="23"/>
          <w:highlight w:val="none"/>
          <w:lang w:eastAsia="zh-CN"/>
        </w:rPr>
      </w:pPr>
      <w:r>
        <w:rPr>
          <w:rFonts w:hint="eastAsia" w:ascii="宋体" w:hAnsi="宋体" w:eastAsia="宋体" w:cs="宋体"/>
          <w:color w:val="0000FF"/>
          <w:sz w:val="23"/>
          <w:szCs w:val="23"/>
          <w:highlight w:val="none"/>
          <w:lang w:eastAsia="zh-CN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3"/>
          <w:szCs w:val="23"/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F040A"/>
    <w:multiLevelType w:val="singleLevel"/>
    <w:tmpl w:val="5ABF04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14FF2"/>
    <w:rsid w:val="00023CE4"/>
    <w:rsid w:val="000B7385"/>
    <w:rsid w:val="0029032E"/>
    <w:rsid w:val="002D6DFD"/>
    <w:rsid w:val="002E51E3"/>
    <w:rsid w:val="00305F39"/>
    <w:rsid w:val="00336875"/>
    <w:rsid w:val="00364CF1"/>
    <w:rsid w:val="00374C04"/>
    <w:rsid w:val="003C3EA7"/>
    <w:rsid w:val="00467055"/>
    <w:rsid w:val="004C566A"/>
    <w:rsid w:val="005238C5"/>
    <w:rsid w:val="00530183"/>
    <w:rsid w:val="00565759"/>
    <w:rsid w:val="0067193D"/>
    <w:rsid w:val="0068248C"/>
    <w:rsid w:val="007651B0"/>
    <w:rsid w:val="007B28F5"/>
    <w:rsid w:val="007C0194"/>
    <w:rsid w:val="007D6D03"/>
    <w:rsid w:val="007F2F34"/>
    <w:rsid w:val="009B5ABC"/>
    <w:rsid w:val="00A12044"/>
    <w:rsid w:val="00B11475"/>
    <w:rsid w:val="00B46E2E"/>
    <w:rsid w:val="00B5067D"/>
    <w:rsid w:val="00C574F2"/>
    <w:rsid w:val="00D2017A"/>
    <w:rsid w:val="00D62C70"/>
    <w:rsid w:val="00DC337A"/>
    <w:rsid w:val="00E120B8"/>
    <w:rsid w:val="00E5033F"/>
    <w:rsid w:val="00EA79D3"/>
    <w:rsid w:val="00EB1E10"/>
    <w:rsid w:val="00F426D4"/>
    <w:rsid w:val="039B2B9B"/>
    <w:rsid w:val="045346F8"/>
    <w:rsid w:val="045E5511"/>
    <w:rsid w:val="0CA8649F"/>
    <w:rsid w:val="0F6A35C8"/>
    <w:rsid w:val="12433C8B"/>
    <w:rsid w:val="15100C47"/>
    <w:rsid w:val="154D0A5B"/>
    <w:rsid w:val="1748547F"/>
    <w:rsid w:val="19FF6D2D"/>
    <w:rsid w:val="1E705753"/>
    <w:rsid w:val="1FB27A43"/>
    <w:rsid w:val="23444035"/>
    <w:rsid w:val="26572EF9"/>
    <w:rsid w:val="26CA5B17"/>
    <w:rsid w:val="26D35EFF"/>
    <w:rsid w:val="288E0440"/>
    <w:rsid w:val="2B214FF2"/>
    <w:rsid w:val="2B8F2335"/>
    <w:rsid w:val="2DFD1788"/>
    <w:rsid w:val="315069CA"/>
    <w:rsid w:val="32BC4FE6"/>
    <w:rsid w:val="336322FC"/>
    <w:rsid w:val="3C2C36D6"/>
    <w:rsid w:val="3FDB16F4"/>
    <w:rsid w:val="43A1075C"/>
    <w:rsid w:val="46674DA0"/>
    <w:rsid w:val="4736068E"/>
    <w:rsid w:val="48352D44"/>
    <w:rsid w:val="4FD50F4A"/>
    <w:rsid w:val="5009104E"/>
    <w:rsid w:val="528064B1"/>
    <w:rsid w:val="5B7E7555"/>
    <w:rsid w:val="6972414A"/>
    <w:rsid w:val="6BF90BF2"/>
    <w:rsid w:val="73746EC4"/>
    <w:rsid w:val="76305F6F"/>
    <w:rsid w:val="78355A9E"/>
    <w:rsid w:val="7BD75878"/>
    <w:rsid w:val="7C381D34"/>
    <w:rsid w:val="7C6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adjustRightInd w:val="0"/>
      <w:spacing w:before="260" w:after="260" w:line="416" w:lineRule="auto"/>
      <w:textAlignment w:val="baseline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Medium Grid 3 Accent 5"/>
    <w:basedOn w:val="6"/>
    <w:qFormat/>
    <w:uiPriority w:val="69"/>
    <w:rPr>
      <w:kern w:val="2"/>
      <w:sz w:val="21"/>
      <w:szCs w:val="22"/>
    </w:rPr>
    <w:tblPr>
      <w:tblBorders>
        <w:top w:val="single" w:color="CCE8CF" w:themeColor="background1" w:sz="8" w:space="0"/>
        <w:left w:val="single" w:color="CCE8CF" w:themeColor="background1" w:sz="8" w:space="0"/>
        <w:bottom w:val="single" w:color="CCE8CF" w:themeColor="background1" w:sz="8" w:space="0"/>
        <w:right w:val="single" w:color="CCE8CF" w:themeColor="background1" w:sz="8" w:space="0"/>
        <w:insideH w:val="single" w:color="CCE8CF" w:themeColor="background1" w:sz="6" w:space="0"/>
        <w:insideV w:val="single" w:color="CCE8C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24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CE8CF" w:themeColor="background1" w:sz="24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CCE8CF" w:themeColor="background1" w:sz="8" w:space="0"/>
          <w:right w:val="single" w:color="CCE8C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CCE8C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CCE8C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>
        <w:tblLayout w:type="fixed"/>
      </w:tblPr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>
        <w:tblLayout w:type="fixed"/>
      </w:tblPr>
      <w:tcPr>
        <w:tcBorders>
          <w:top w:val="single" w:color="CCE8CF" w:themeColor="background1" w:sz="8" w:space="0"/>
          <w:left w:val="single" w:color="CCE8CF" w:themeColor="background1" w:sz="8" w:space="0"/>
          <w:bottom w:val="single" w:color="CCE8CF" w:themeColor="background1" w:sz="8" w:space="0"/>
          <w:right w:val="single" w:color="CCE8C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character" w:customStyle="1" w:styleId="8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adjustRightInd w:val="0"/>
      <w:spacing w:line="360" w:lineRule="atLeast"/>
      <w:ind w:firstLine="420" w:firstLineChars="200"/>
      <w:textAlignment w:val="baseline"/>
    </w:pPr>
    <w:rPr>
      <w:rFonts w:asciiTheme="minorHAnsi" w:hAnsiTheme="minorHAnsi"/>
      <w:kern w:val="0"/>
      <w:sz w:val="20"/>
    </w:rPr>
  </w:style>
  <w:style w:type="table" w:customStyle="1" w:styleId="12">
    <w:name w:val="Grid Table 5 Dark Accent 5"/>
    <w:basedOn w:val="6"/>
    <w:qFormat/>
    <w:uiPriority w:val="50"/>
    <w:rPr>
      <w:kern w:val="2"/>
      <w:sz w:val="21"/>
      <w:szCs w:val="22"/>
    </w:rPr>
    <w:tblPr>
      <w:tblBorders>
        <w:top w:val="single" w:color="CCE8CF" w:themeColor="background1" w:sz="4" w:space="0"/>
        <w:left w:val="single" w:color="CCE8CF" w:themeColor="background1" w:sz="4" w:space="0"/>
        <w:bottom w:val="single" w:color="CCE8CF" w:themeColor="background1" w:sz="4" w:space="0"/>
        <w:right w:val="single" w:color="CCE8CF" w:themeColor="background1" w:sz="4" w:space="0"/>
        <w:insideH w:val="single" w:color="CCE8CF" w:themeColor="background1" w:sz="4" w:space="0"/>
        <w:insideV w:val="single" w:color="CCE8C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left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bottom w:val="single" w:color="CCE8C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498</Words>
  <Characters>2845</Characters>
  <Lines>23</Lines>
  <Paragraphs>6</Paragraphs>
  <TotalTime>25</TotalTime>
  <ScaleCrop>false</ScaleCrop>
  <LinksUpToDate>false</LinksUpToDate>
  <CharactersWithSpaces>3337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2018-04-24T08:17:00Z</dcterms:created>
  <dc:creator>艾蔻娃娃</dc:creator>
  <cp:lastModifiedBy>艾蔻娃娃</cp:lastModifiedBy>
  <dcterms:modified xsi:type="dcterms:W3CDTF">2019-02-28T06:25:34Z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