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8A9E35">
      <w:pPr>
        <w:jc w:val="center"/>
        <w:rPr>
          <w:b/>
          <w:bCs/>
          <w:sz w:val="28"/>
          <w:szCs w:val="28"/>
        </w:rPr>
      </w:pPr>
    </w:p>
    <w:p w14:paraId="0CEAB1C9">
      <w:pPr>
        <w:jc w:val="center"/>
        <w:rPr>
          <w:rFonts w:hint="eastAsia"/>
          <w:b/>
          <w:bCs/>
          <w:sz w:val="28"/>
          <w:szCs w:val="28"/>
        </w:rPr>
      </w:pPr>
      <w:r>
        <w:rPr>
          <w:rFonts w:hint="eastAsia"/>
          <w:b/>
          <w:bCs/>
          <w:sz w:val="28"/>
          <w:szCs w:val="28"/>
        </w:rPr>
        <w:t>全美国际新加坡高校访学项目</w:t>
      </w:r>
      <w:r>
        <w:rPr>
          <w:rFonts w:hint="eastAsia"/>
          <w:b/>
          <w:bCs/>
          <w:sz w:val="28"/>
          <w:szCs w:val="28"/>
          <w:lang w:val="en-US" w:eastAsia="zh-CN"/>
        </w:rPr>
        <w:t>-</w:t>
      </w:r>
      <w:r>
        <w:rPr>
          <w:rFonts w:hint="eastAsia"/>
          <w:b/>
          <w:bCs/>
          <w:sz w:val="28"/>
          <w:szCs w:val="28"/>
        </w:rPr>
        <w:t>金融科技法律与监管</w:t>
      </w:r>
    </w:p>
    <w:p w14:paraId="6A38DB19">
      <w:pPr>
        <w:jc w:val="center"/>
        <w:rPr>
          <w:rFonts w:hint="default"/>
          <w:b/>
          <w:bCs/>
          <w:sz w:val="28"/>
          <w:szCs w:val="28"/>
          <w:lang w:val="en-US" w:eastAsia="zh-CN"/>
        </w:rPr>
      </w:pPr>
      <w:r>
        <w:rPr>
          <w:rFonts w:hint="eastAsia" w:ascii="宋体" w:hAnsi="宋体" w:eastAsia="宋体" w:cs="宋体"/>
          <w:b/>
          <w:bCs/>
          <w:color w:val="auto"/>
          <w:sz w:val="28"/>
          <w:szCs w:val="28"/>
          <w:lang w:val="en-US" w:eastAsia="zh-CN"/>
        </w:rPr>
        <w:t>学术提供方</w:t>
      </w:r>
      <w:r>
        <w:rPr>
          <w:rFonts w:hint="eastAsia" w:ascii="宋体" w:hAnsi="宋体" w:cs="宋体"/>
          <w:b/>
          <w:bCs/>
          <w:color w:val="auto"/>
          <w:sz w:val="28"/>
          <w:szCs w:val="28"/>
          <w:lang w:val="en-US" w:eastAsia="zh-CN"/>
        </w:rPr>
        <w:t>：</w:t>
      </w:r>
      <w:r>
        <w:rPr>
          <w:rFonts w:hint="eastAsia" w:ascii="宋体" w:hAnsi="宋体" w:eastAsia="宋体" w:cs="宋体"/>
          <w:b/>
          <w:bCs/>
          <w:color w:val="auto"/>
          <w:sz w:val="28"/>
          <w:szCs w:val="28"/>
          <w:lang w:val="en-US" w:eastAsia="zh-CN"/>
        </w:rPr>
        <w:t>新加坡国立大学持续与终身教育学院（SCALE）&amp;</w:t>
      </w:r>
      <w:r>
        <w:rPr>
          <w:rFonts w:hint="eastAsia" w:ascii="宋体" w:hAnsi="宋体" w:cs="宋体"/>
          <w:b/>
          <w:bCs/>
          <w:sz w:val="28"/>
          <w:szCs w:val="28"/>
          <w:lang w:val="en-US" w:eastAsia="zh-CN"/>
        </w:rPr>
        <w:t>法学院</w:t>
      </w:r>
      <w:r>
        <w:rPr>
          <w:rFonts w:hint="eastAsia" w:ascii="宋体" w:hAnsi="宋体" w:eastAsia="宋体" w:cs="宋体"/>
          <w:b/>
          <w:bCs/>
          <w:sz w:val="28"/>
          <w:szCs w:val="28"/>
          <w:lang w:val="en-US" w:eastAsia="zh-CN"/>
        </w:rPr>
        <w:t>学院(</w:t>
      </w:r>
      <w:r>
        <w:rPr>
          <w:rFonts w:hint="eastAsia" w:ascii="宋体" w:hAnsi="宋体" w:cs="宋体"/>
          <w:b/>
          <w:bCs/>
          <w:sz w:val="28"/>
          <w:szCs w:val="28"/>
          <w:lang w:val="en-US" w:eastAsia="zh-CN"/>
        </w:rPr>
        <w:t>LAW</w:t>
      </w:r>
      <w:r>
        <w:rPr>
          <w:rFonts w:hint="eastAsia" w:ascii="宋体" w:hAnsi="宋体" w:eastAsia="宋体" w:cs="宋体"/>
          <w:b/>
          <w:bCs/>
          <w:sz w:val="28"/>
          <w:szCs w:val="28"/>
          <w:lang w:val="en-US" w:eastAsia="zh-CN"/>
        </w:rPr>
        <w:t>)</w:t>
      </w:r>
    </w:p>
    <w:p w14:paraId="2A6482B9"/>
    <w:p w14:paraId="09226C0F">
      <w:pPr>
        <w:rPr>
          <w:b/>
          <w:bCs/>
        </w:rPr>
      </w:pPr>
      <w:r>
        <w:rPr>
          <w:rFonts w:hint="eastAsia"/>
          <w:b/>
          <w:bCs/>
        </w:rPr>
        <w:t>一、项目综述</w:t>
      </w:r>
    </w:p>
    <w:p w14:paraId="1CD7CF25">
      <w:pPr>
        <w:pStyle w:val="22"/>
        <w:numPr>
          <w:ilvl w:val="0"/>
          <w:numId w:val="0"/>
        </w:numPr>
        <w:ind w:left="420" w:firstLine="420" w:firstLineChars="200"/>
        <w:rPr>
          <w:rFonts w:hint="eastAsia"/>
        </w:rPr>
      </w:pPr>
      <w:r>
        <w:rPr>
          <w:rFonts w:hint="eastAsia"/>
        </w:rPr>
        <w:t>本课程以金融科技（FinTech）核心概念为切入点，深入探讨技术高速发展下引发系列法律问题的四大关键领域，聚焦金融与科技的交叉地带，剖析管控发展固有风险的监管理念。课程内容具体涵盖：传统支付交易与新技术领域的即时支付清算及智能合约理念；加密货币、稳定币与央行数字货币领域的成功案例、失败教训、潜在风险及应对策略；监管沙盒领域的定义与目标、法律框架构建、不同司法管辖区（如英国、新加坡）实践对比及设立中的法律挑战；众筹领域的类型划分、生态核心参与方（平台、投资者、创业者），以及股权众筹的监管框架、不同司法管辖区规则对比及平台核心作用。​</w:t>
      </w:r>
    </w:p>
    <w:p w14:paraId="2C186C8E">
      <w:pPr>
        <w:pStyle w:val="22"/>
        <w:numPr>
          <w:ilvl w:val="0"/>
          <w:numId w:val="0"/>
        </w:numPr>
        <w:ind w:left="420" w:firstLine="420" w:firstLineChars="200"/>
        <w:rPr>
          <w:rFonts w:hint="eastAsia"/>
        </w:rPr>
      </w:pPr>
      <w:r>
        <w:rPr>
          <w:rFonts w:hint="eastAsia"/>
        </w:rPr>
        <w:t>学完本课程后，学习者将收获多维度能力与认知：</w:t>
      </w:r>
    </w:p>
    <w:p w14:paraId="54ADA15C">
      <w:pPr>
        <w:pStyle w:val="22"/>
        <w:numPr>
          <w:ilvl w:val="0"/>
          <w:numId w:val="2"/>
        </w:numPr>
        <w:ind w:left="1260" w:leftChars="0" w:hanging="420" w:firstLineChars="0"/>
        <w:rPr>
          <w:rFonts w:hint="eastAsia"/>
        </w:rPr>
      </w:pPr>
      <w:r>
        <w:rPr>
          <w:rFonts w:hint="eastAsia"/>
        </w:rPr>
        <w:t>建立起金融科技核心领域的系统知识框架，清晰掌握支付技术、数字资产、监管沙盒、众筹四大板块的核心内涵与发展现状；</w:t>
      </w:r>
    </w:p>
    <w:p w14:paraId="2FF67A82">
      <w:pPr>
        <w:pStyle w:val="22"/>
        <w:numPr>
          <w:ilvl w:val="0"/>
          <w:numId w:val="2"/>
        </w:numPr>
        <w:ind w:left="1260" w:leftChars="0" w:hanging="420" w:firstLineChars="0"/>
        <w:rPr>
          <w:rFonts w:hint="eastAsia"/>
        </w:rPr>
      </w:pPr>
      <w:r>
        <w:rPr>
          <w:rFonts w:hint="eastAsia"/>
        </w:rPr>
        <w:t>具备对金融科技领域法律与监管问题的专业分析视角，能够理解不同司法管辖区的制度差异与实践逻辑；</w:t>
      </w:r>
    </w:p>
    <w:p w14:paraId="2C885168">
      <w:pPr>
        <w:pStyle w:val="22"/>
        <w:numPr>
          <w:ilvl w:val="0"/>
          <w:numId w:val="2"/>
        </w:numPr>
        <w:ind w:left="1260" w:leftChars="0" w:hanging="420" w:firstLineChars="0"/>
        <w:rPr>
          <w:rFonts w:hint="eastAsia"/>
        </w:rPr>
      </w:pPr>
      <w:r>
        <w:rPr>
          <w:rFonts w:hint="eastAsia"/>
        </w:rPr>
        <w:t>形成风险管控思维，可结合案例与规则剖析识别金融科技创新中的潜在风险，并了解应对思路与监管方向；</w:t>
      </w:r>
    </w:p>
    <w:p w14:paraId="1625F6CE">
      <w:pPr>
        <w:pStyle w:val="22"/>
        <w:numPr>
          <w:ilvl w:val="0"/>
          <w:numId w:val="2"/>
        </w:numPr>
        <w:ind w:left="1260" w:leftChars="0" w:hanging="420" w:firstLineChars="0"/>
        <w:rPr>
          <w:rFonts w:hint="eastAsia"/>
        </w:rPr>
      </w:pPr>
      <w:r>
        <w:rPr>
          <w:rFonts w:hint="eastAsia"/>
        </w:rPr>
        <w:t>掌握跨领域融合认知能力，能精准把握金融与科技交叉场景下的核心矛盾与解决路径。​</w:t>
      </w:r>
    </w:p>
    <w:p w14:paraId="32B011B9">
      <w:pPr>
        <w:pStyle w:val="22"/>
        <w:numPr>
          <w:ilvl w:val="0"/>
          <w:numId w:val="0"/>
        </w:numPr>
        <w:ind w:left="420"/>
        <w:rPr>
          <w:rFonts w:hint="eastAsia"/>
        </w:rPr>
      </w:pPr>
    </w:p>
    <w:p w14:paraId="18F4A3D1">
      <w:pPr>
        <w:numPr>
          <w:ilvl w:val="0"/>
          <w:numId w:val="3"/>
        </w:numPr>
        <w:rPr>
          <w:rFonts w:hint="eastAsia"/>
          <w:b/>
          <w:bCs/>
        </w:rPr>
      </w:pPr>
      <w:r>
        <w:rPr>
          <w:rFonts w:hint="eastAsia"/>
          <w:b/>
          <w:bCs/>
        </w:rPr>
        <w:t>项目优势特色</w:t>
      </w:r>
    </w:p>
    <w:p w14:paraId="124E752C">
      <w:pPr>
        <w:numPr>
          <w:ilvl w:val="0"/>
          <w:numId w:val="4"/>
        </w:numPr>
        <w:ind w:left="840" w:leftChars="0" w:hanging="420" w:firstLineChars="0"/>
        <w:rPr>
          <w:b/>
          <w:bCs/>
        </w:rPr>
      </w:pPr>
      <w:r>
        <w:rPr>
          <w:rFonts w:hint="eastAsia"/>
          <w:b/>
          <w:bCs/>
        </w:rPr>
        <w:t>【官方品质保障】</w:t>
      </w:r>
      <w:r>
        <w:rPr>
          <w:rFonts w:hint="eastAsia"/>
        </w:rPr>
        <w:t>学</w:t>
      </w:r>
      <w:r>
        <w:rPr>
          <w:rFonts w:hint="eastAsia"/>
          <w:lang w:val="en-US" w:eastAsia="zh-CN"/>
        </w:rPr>
        <w:t>员</w:t>
      </w:r>
      <w:r>
        <w:rPr>
          <w:rFonts w:hint="eastAsia"/>
        </w:rPr>
        <w:t>可获得新加坡国立大学</w:t>
      </w:r>
      <w:r>
        <w:rPr>
          <w:rFonts w:hint="eastAsia"/>
          <w:lang w:val="en-US" w:eastAsia="zh-CN"/>
        </w:rPr>
        <w:t>SCALE</w:t>
      </w:r>
      <w:r>
        <w:rPr>
          <w:rFonts w:hint="eastAsia"/>
        </w:rPr>
        <w:t>正式的项目录取通知</w:t>
      </w:r>
      <w:r>
        <w:rPr>
          <w:rFonts w:hint="eastAsia"/>
          <w:lang w:eastAsia="zh-CN"/>
        </w:rPr>
        <w:t>；</w:t>
      </w:r>
      <w:r>
        <w:rPr>
          <w:rFonts w:hint="eastAsia"/>
          <w:lang w:val="en-US" w:eastAsia="zh-CN"/>
        </w:rPr>
        <w:t>每个学员都会收到NUS在</w:t>
      </w:r>
      <w:r>
        <w:rPr>
          <w:rFonts w:hint="eastAsia"/>
          <w:lang w:eastAsia="zh-CN"/>
        </w:rPr>
        <w:t xml:space="preserve">线学习平台 Canvas </w:t>
      </w:r>
      <w:r>
        <w:rPr>
          <w:rFonts w:hint="eastAsia"/>
          <w:lang w:val="en-US" w:eastAsia="zh-CN"/>
        </w:rPr>
        <w:t>的</w:t>
      </w:r>
      <w:r>
        <w:rPr>
          <w:rFonts w:hint="eastAsia"/>
          <w:lang w:eastAsia="zh-CN"/>
        </w:rPr>
        <w:t>个人账户，</w:t>
      </w:r>
      <w:r>
        <w:rPr>
          <w:rFonts w:hint="eastAsia"/>
          <w:lang w:val="en-US" w:eastAsia="zh-CN"/>
        </w:rPr>
        <w:t>用于查看授课教师</w:t>
      </w:r>
      <w:r>
        <w:rPr>
          <w:rFonts w:hint="eastAsia"/>
          <w:lang w:eastAsia="zh-CN"/>
        </w:rPr>
        <w:t>分配的学习任务、提交作业</w:t>
      </w:r>
      <w:r>
        <w:rPr>
          <w:rFonts w:hint="eastAsia"/>
          <w:lang w:val="en-US" w:eastAsia="zh-CN"/>
        </w:rPr>
        <w:t>和</w:t>
      </w:r>
      <w:r>
        <w:rPr>
          <w:rFonts w:hint="eastAsia"/>
          <w:lang w:eastAsia="zh-CN"/>
        </w:rPr>
        <w:t>下载课程资料；</w:t>
      </w:r>
    </w:p>
    <w:p w14:paraId="774B39C4">
      <w:pPr>
        <w:pStyle w:val="22"/>
        <w:numPr>
          <w:ilvl w:val="0"/>
          <w:numId w:val="5"/>
        </w:numPr>
        <w:ind w:leftChars="0"/>
        <w:rPr>
          <w:b/>
          <w:bCs/>
        </w:rPr>
      </w:pPr>
      <w:r>
        <w:rPr>
          <w:rFonts w:hint="eastAsia"/>
          <w:b/>
          <w:bCs/>
        </w:rPr>
        <w:t>【丰富的学习体验】</w:t>
      </w:r>
      <w:r>
        <w:rPr>
          <w:rFonts w:hint="eastAsia"/>
        </w:rPr>
        <w:t>以金融科技核心概念为引，精准聚焦金融与科技交叉地带的法律与监管核心矛盾，通过四大关键领域的具象化剖析，构建清晰逻辑链条，既实现知识体系的系统性覆盖，又达成议题剖析的深度穿透；</w:t>
      </w:r>
    </w:p>
    <w:p w14:paraId="0311574C">
      <w:pPr>
        <w:pStyle w:val="22"/>
        <w:numPr>
          <w:ilvl w:val="0"/>
          <w:numId w:val="5"/>
        </w:numPr>
        <w:ind w:leftChars="0"/>
        <w:rPr>
          <w:b/>
          <w:bCs/>
        </w:rPr>
      </w:pPr>
      <w:r>
        <w:rPr>
          <w:rFonts w:hint="eastAsia"/>
          <w:b/>
          <w:bCs/>
        </w:rPr>
        <w:t>【可接受四/六级成绩】</w:t>
      </w:r>
      <w:r>
        <w:rPr>
          <w:rFonts w:hint="eastAsia"/>
        </w:rPr>
        <w:t>无需托福雅思成绩，可使用大学英语四六级等成绩进行申请;</w:t>
      </w:r>
      <w:r>
        <w:br w:type="textWrapping"/>
      </w:r>
    </w:p>
    <w:p w14:paraId="67B13B95">
      <w:pPr>
        <w:rPr>
          <w:b/>
          <w:bCs/>
        </w:rPr>
      </w:pPr>
      <w:r>
        <w:rPr>
          <w:rFonts w:hint="eastAsia"/>
          <w:b/>
          <w:bCs/>
        </w:rPr>
        <w:t>三、新加坡国立</w:t>
      </w:r>
      <w:r>
        <w:rPr>
          <w:b/>
          <w:bCs/>
        </w:rPr>
        <w:t>大学</w:t>
      </w:r>
      <w:r>
        <w:rPr>
          <w:rFonts w:hint="eastAsia"/>
          <w:b/>
          <w:bCs/>
        </w:rPr>
        <w:t>简介</w:t>
      </w:r>
    </w:p>
    <w:p w14:paraId="1100F5BE">
      <w:pPr>
        <w:pStyle w:val="22"/>
        <w:numPr>
          <w:ilvl w:val="0"/>
          <w:numId w:val="5"/>
        </w:numPr>
        <w:ind w:leftChars="0"/>
      </w:pPr>
      <w:r>
        <w:t>新加坡国立大学（National University of Singapore），简称国大（NUS），是一所位于新加坡的公立研究型大学，创办于1905年，是新加坡历史最悠久、规模最大、声誉最高的大学之一</w:t>
      </w:r>
      <w:r>
        <w:rPr>
          <w:rFonts w:hint="eastAsia"/>
        </w:rPr>
        <w:t>；</w:t>
      </w:r>
      <w:r>
        <w:t>学校以其强大的科研能力、全球化的教育环境和卓越的教学质量而闻名</w:t>
      </w:r>
      <w:r>
        <w:rPr>
          <w:rFonts w:hint="eastAsia"/>
        </w:rPr>
        <w:t>；</w:t>
      </w:r>
    </w:p>
    <w:p w14:paraId="4EAA326E">
      <w:pPr>
        <w:pStyle w:val="22"/>
        <w:numPr>
          <w:ilvl w:val="0"/>
          <w:numId w:val="5"/>
        </w:numPr>
        <w:ind w:leftChars="0"/>
      </w:pPr>
      <w:r>
        <w:t>新加坡国立大学在世界大学排名中一直名列前茅，</w:t>
      </w:r>
      <w:r>
        <w:rPr>
          <w:rFonts w:hint="eastAsia"/>
        </w:rPr>
        <w:t> 根据202</w:t>
      </w:r>
      <w:r>
        <w:rPr>
          <w:rFonts w:hint="eastAsia"/>
          <w:lang w:val="en-US" w:eastAsia="zh-CN"/>
        </w:rPr>
        <w:t>6</w:t>
      </w:r>
      <w:r>
        <w:rPr>
          <w:rFonts w:hint="eastAsia"/>
        </w:rPr>
        <w:t>年QS世界大学排名，NUS位列全球大学第8位，金融专业</w:t>
      </w:r>
      <w:r>
        <w:rPr>
          <w:rFonts w:hint="eastAsia"/>
          <w:lang w:val="en-US" w:eastAsia="zh-CN"/>
        </w:rPr>
        <w:t>2025年</w:t>
      </w:r>
      <w:r>
        <w:rPr>
          <w:rFonts w:hint="eastAsia"/>
        </w:rPr>
        <w:t>全球排名第14，经济学专业</w:t>
      </w:r>
      <w:r>
        <w:rPr>
          <w:rFonts w:hint="eastAsia"/>
          <w:lang w:val="en-US" w:eastAsia="zh-CN"/>
        </w:rPr>
        <w:t>2025年</w:t>
      </w:r>
      <w:r>
        <w:rPr>
          <w:rFonts w:hint="eastAsia"/>
        </w:rPr>
        <w:t>全球排名第17；</w:t>
      </w:r>
      <w:r>
        <w:t> 20</w:t>
      </w:r>
      <w:r>
        <w:rPr>
          <w:rFonts w:hint="eastAsia"/>
        </w:rPr>
        <w:t>2</w:t>
      </w:r>
      <w:r>
        <w:rPr>
          <w:rFonts w:hint="eastAsia"/>
          <w:lang w:val="en-US" w:eastAsia="zh-CN"/>
        </w:rPr>
        <w:t>6</w:t>
      </w:r>
      <w:r>
        <w:rPr>
          <w:rFonts w:hint="eastAsia"/>
        </w:rPr>
        <w:t>年USNEWS全球大学排名，NUS位列全球第2</w:t>
      </w:r>
      <w:r>
        <w:rPr>
          <w:rFonts w:hint="eastAsia"/>
          <w:lang w:val="en-US" w:eastAsia="zh-CN"/>
        </w:rPr>
        <w:t>0</w:t>
      </w:r>
      <w:r>
        <w:rPr>
          <w:rFonts w:hint="eastAsia"/>
        </w:rPr>
        <w:t>位</w:t>
      </w:r>
      <w:r>
        <w:rPr>
          <w:rFonts w:hint="eastAsia"/>
          <w:lang w:val="en-US" w:eastAsia="zh-CN"/>
        </w:rPr>
        <w:t>;</w:t>
      </w:r>
    </w:p>
    <w:p w14:paraId="0E258B3A">
      <w:pPr>
        <w:pStyle w:val="22"/>
        <w:numPr>
          <w:ilvl w:val="0"/>
          <w:numId w:val="5"/>
        </w:numPr>
        <w:ind w:leftChars="0"/>
      </w:pPr>
      <w:r>
        <w:rPr>
          <w:rFonts w:hint="eastAsia"/>
        </w:rPr>
        <w:t>学校下设有16个院系及37所校级研究机构或研究中心，包括工程学院、科学学院</w:t>
      </w:r>
      <w:r>
        <w:rPr>
          <w:rFonts w:hint="eastAsia"/>
          <w:lang w:eastAsia="zh-CN"/>
        </w:rPr>
        <w:t>、</w:t>
      </w:r>
      <w:r>
        <w:rPr>
          <w:rFonts w:hint="eastAsia"/>
          <w:lang w:val="en-US" w:eastAsia="zh-CN"/>
        </w:rPr>
        <w:t>文学院</w:t>
      </w:r>
      <w:r>
        <w:rPr>
          <w:rFonts w:hint="eastAsia"/>
        </w:rPr>
        <w:t>与社会科学学院、医学院、牙医学院、法学院、商学院、公共政策学院等。学校还提供丰富多样的研究生项目，吸引了来自全球各地的优秀学生。新加坡国立大学致力于培养具有创新思维、领导力和社会责任感的全面发展的学生；</w:t>
      </w:r>
    </w:p>
    <w:p w14:paraId="48CF2ECD"/>
    <w:p w14:paraId="1B22BC05">
      <w:pPr>
        <w:pStyle w:val="22"/>
        <w:numPr>
          <w:ilvl w:val="0"/>
          <w:numId w:val="6"/>
        </w:numPr>
        <w:ind w:leftChars="0"/>
        <w:rPr>
          <w:b/>
          <w:bCs/>
        </w:rPr>
      </w:pPr>
      <w:r>
        <w:rPr>
          <w:rFonts w:hint="eastAsia"/>
          <w:b/>
          <w:bCs/>
        </w:rPr>
        <w:t>项目详情</w:t>
      </w:r>
    </w:p>
    <w:p w14:paraId="5A30BED5">
      <w:r>
        <w:rPr>
          <w:rFonts w:cs="Calibri"/>
        </w:rPr>
        <w:t>【</w:t>
      </w:r>
      <w:r>
        <w:rPr>
          <w:rFonts w:hint="eastAsia"/>
          <w:lang w:val="en-US" w:eastAsia="zh-CN"/>
        </w:rPr>
        <w:t>项目模块说明</w:t>
      </w:r>
      <w:r>
        <w:rPr>
          <w:rFonts w:cs="Calibri"/>
        </w:rPr>
        <w:t>】</w:t>
      </w:r>
    </w:p>
    <w:p w14:paraId="503FD95F">
      <w:pPr>
        <w:ind w:firstLine="420" w:firstLineChars="200"/>
        <w:rPr>
          <w:rFonts w:hint="eastAsia" w:cs="Calibri"/>
          <w:lang w:val="en-US" w:eastAsia="zh-CN"/>
        </w:rPr>
      </w:pPr>
      <w:r>
        <w:rPr>
          <w:rFonts w:hint="eastAsia" w:cs="Calibri"/>
        </w:rPr>
        <w:t>本项目</w:t>
      </w:r>
      <w:r>
        <w:rPr>
          <w:rFonts w:hint="eastAsia" w:cs="Calibri"/>
          <w:lang w:val="en-US" w:eastAsia="zh-CN"/>
        </w:rPr>
        <w:t>时长</w:t>
      </w:r>
      <w:r>
        <w:rPr>
          <w:rFonts w:hint="eastAsia" w:cs="Calibri"/>
        </w:rPr>
        <w:t>8天</w:t>
      </w:r>
      <w:r>
        <w:rPr>
          <w:rFonts w:hint="eastAsia" w:cs="Calibri"/>
          <w:lang w:val="en-US" w:eastAsia="zh-CN"/>
        </w:rPr>
        <w:t>7晚</w:t>
      </w:r>
      <w:r>
        <w:rPr>
          <w:rFonts w:hint="eastAsia" w:cs="Calibri"/>
        </w:rPr>
        <w:t>，</w:t>
      </w:r>
      <w:r>
        <w:rPr>
          <w:rFonts w:hint="eastAsia" w:cs="Calibri"/>
          <w:lang w:val="en-US" w:eastAsia="zh-CN"/>
        </w:rPr>
        <w:t>由两部分组成：</w:t>
      </w:r>
    </w:p>
    <w:p w14:paraId="0AFB5AF2">
      <w:pPr>
        <w:numPr>
          <w:ilvl w:val="0"/>
          <w:numId w:val="7"/>
        </w:numPr>
        <w:ind w:left="420" w:leftChars="0" w:hanging="420" w:firstLineChars="0"/>
        <w:rPr>
          <w:rFonts w:hint="eastAsia"/>
          <w:color w:val="000000" w:themeColor="text1"/>
          <w14:textFill>
            <w14:solidFill>
              <w14:schemeClr w14:val="tx1"/>
            </w14:solidFill>
          </w14:textFill>
        </w:rPr>
      </w:pPr>
      <w:r>
        <w:rPr>
          <w:rFonts w:hint="eastAsia" w:cs="Calibri"/>
        </w:rPr>
        <w:t>学术</w:t>
      </w:r>
      <w:r>
        <w:rPr>
          <w:rFonts w:hint="eastAsia" w:cs="Calibri"/>
          <w:color w:val="000000" w:themeColor="text1"/>
          <w14:textFill>
            <w14:solidFill>
              <w14:schemeClr w14:val="tx1"/>
            </w14:solidFill>
          </w14:textFill>
        </w:rPr>
        <w:t>部分:</w:t>
      </w:r>
      <w:r>
        <w:rPr>
          <w:rFonts w:hint="eastAsia" w:cs="Calibri"/>
          <w:color w:val="000000" w:themeColor="text1"/>
          <w:lang w:val="en-US" w:eastAsia="zh-CN"/>
          <w14:textFill>
            <w14:solidFill>
              <w14:schemeClr w14:val="tx1"/>
            </w14:solidFill>
          </w14:textFill>
        </w:rPr>
        <w:t xml:space="preserve"> </w:t>
      </w:r>
      <w:r>
        <w:rPr>
          <w:rFonts w:hint="eastAsia" w:cs="Calibri"/>
          <w:color w:val="000000" w:themeColor="text1"/>
          <w14:textFill>
            <w14:solidFill>
              <w14:schemeClr w14:val="tx1"/>
            </w14:solidFill>
          </w14:textFill>
        </w:rPr>
        <w:t>新加坡</w:t>
      </w:r>
      <w:r>
        <w:rPr>
          <w:rFonts w:hint="eastAsia" w:cs="Calibri"/>
          <w:color w:val="000000" w:themeColor="text1"/>
          <w:lang w:val="en-US" w:eastAsia="zh-CN"/>
          <w14:textFill>
            <w14:solidFill>
              <w14:schemeClr w14:val="tx1"/>
            </w14:solidFill>
          </w14:textFill>
        </w:rPr>
        <w:t>高校访学</w:t>
      </w:r>
      <w:r>
        <w:rPr>
          <w:rFonts w:hint="eastAsia" w:cs="Calibri"/>
          <w:color w:val="000000" w:themeColor="text1"/>
          <w14:textFill>
            <w14:solidFill>
              <w14:schemeClr w14:val="tx1"/>
            </w14:solidFill>
          </w14:textFill>
        </w:rPr>
        <w:t>项目</w:t>
      </w:r>
      <w:r>
        <w:rPr>
          <w:rFonts w:hint="eastAsia"/>
          <w:color w:val="000000" w:themeColor="text1"/>
          <w14:textFill>
            <w14:solidFill>
              <w14:schemeClr w14:val="tx1"/>
            </w14:solidFill>
          </w14:textFill>
        </w:rPr>
        <w:t>教学时间</w:t>
      </w:r>
      <w:bookmarkStart w:id="2" w:name="_GoBack"/>
      <w:bookmarkEnd w:id="2"/>
      <w:r>
        <w:rPr>
          <w:rFonts w:hint="eastAsia"/>
          <w:color w:val="000000" w:themeColor="text1"/>
          <w14:textFill>
            <w14:solidFill>
              <w14:schemeClr w14:val="tx1"/>
            </w14:solidFill>
          </w14:textFill>
        </w:rPr>
        <w:t>总共</w:t>
      </w:r>
      <w:r>
        <w:rPr>
          <w:rFonts w:hint="eastAsia"/>
          <w:color w:val="000000" w:themeColor="text1"/>
          <w:lang w:val="en-US" w:eastAsia="zh-CN"/>
          <w14:textFill>
            <w14:solidFill>
              <w14:schemeClr w14:val="tx1"/>
            </w14:solidFill>
          </w14:textFill>
        </w:rPr>
        <w:t>15小时</w:t>
      </w:r>
      <w:r>
        <w:rPr>
          <w:rFonts w:hint="eastAsia"/>
          <w:color w:val="000000" w:themeColor="text1"/>
          <w14:textFill>
            <w14:solidFill>
              <w14:schemeClr w14:val="tx1"/>
            </w14:solidFill>
          </w14:textFill>
        </w:rPr>
        <w:t>，授课时间预计为周一至周五上午或下午（以校方实际安排的课表为准）</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由新加坡国立大学SCALE &amp; LAW提供</w:t>
      </w:r>
      <w:r>
        <w:rPr>
          <w:rFonts w:hint="eastAsia"/>
          <w:color w:val="000000" w:themeColor="text1"/>
          <w14:textFill>
            <w14:solidFill>
              <w14:schemeClr w14:val="tx1"/>
            </w14:solidFill>
          </w14:textFill>
        </w:rPr>
        <w:t>。</w:t>
      </w:r>
    </w:p>
    <w:p w14:paraId="264BBD52">
      <w:pPr>
        <w:numPr>
          <w:ilvl w:val="0"/>
          <w:numId w:val="7"/>
        </w:numPr>
        <w:ind w:left="420" w:leftChars="0" w:hanging="420" w:firstLineChars="0"/>
      </w:pPr>
      <w:r>
        <w:rPr>
          <w:rFonts w:hint="eastAsia"/>
          <w:color w:val="000000" w:themeColor="text1"/>
          <w14:textFill>
            <w14:solidFill>
              <w14:schemeClr w14:val="tx1"/>
            </w14:solidFill>
          </w14:textFill>
        </w:rPr>
        <w:t>人文参访与社会文化活动</w:t>
      </w:r>
      <w:r>
        <w:rPr>
          <w:rFonts w:hint="eastAsia"/>
          <w:color w:val="000000" w:themeColor="text1"/>
          <w:lang w:val="en-US" w:eastAsia="zh-CN"/>
          <w14:textFill>
            <w14:solidFill>
              <w14:schemeClr w14:val="tx1"/>
            </w14:solidFill>
          </w14:textFill>
        </w:rPr>
        <w:t>部分</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项目</w:t>
      </w:r>
      <w:r>
        <w:rPr>
          <w:rFonts w:hint="eastAsia"/>
          <w:color w:val="000000" w:themeColor="text1"/>
          <w:lang w:val="en-US" w:eastAsia="zh-CN"/>
          <w14:textFill>
            <w14:solidFill>
              <w14:schemeClr w14:val="tx1"/>
            </w14:solidFill>
          </w14:textFill>
        </w:rPr>
        <w:t>组织方全美国际</w:t>
      </w:r>
      <w:r>
        <w:rPr>
          <w:rFonts w:hint="eastAsia"/>
          <w:color w:val="000000" w:themeColor="text1"/>
          <w14:textFill>
            <w14:solidFill>
              <w14:schemeClr w14:val="tx1"/>
            </w14:solidFill>
          </w14:textFill>
        </w:rPr>
        <w:t>将安排人文参访与社会文化活动</w:t>
      </w:r>
      <w:r>
        <w:rPr>
          <w:rFonts w:hint="eastAsia"/>
        </w:rPr>
        <w:t>环节</w:t>
      </w:r>
      <w:r>
        <w:rPr>
          <w:rFonts w:hint="eastAsia"/>
          <w:lang w:eastAsia="zh-CN"/>
        </w:rPr>
        <w:t>，</w:t>
      </w:r>
      <w:r>
        <w:rPr>
          <w:rFonts w:hint="eastAsia"/>
          <w:lang w:val="en-US" w:eastAsia="zh-CN"/>
        </w:rPr>
        <w:t>包含1次校园参访，1次文化参访，1次企业参访/机构主题参访</w:t>
      </w:r>
      <w:r>
        <w:rPr>
          <w:rFonts w:hint="eastAsia"/>
        </w:rPr>
        <w:t>。</w:t>
      </w:r>
    </w:p>
    <w:p w14:paraId="38153D97">
      <w:pPr>
        <w:pStyle w:val="22"/>
        <w:numPr>
          <w:ilvl w:val="0"/>
          <w:numId w:val="0"/>
        </w:numPr>
        <w:ind w:leftChars="0" w:right="210" w:rightChars="100"/>
        <w:rPr>
          <w:b/>
          <w:bCs/>
        </w:rPr>
      </w:pPr>
    </w:p>
    <w:p w14:paraId="3F8D37C2">
      <w:r>
        <w:t>【</w:t>
      </w:r>
      <w:r>
        <w:rPr>
          <w:rFonts w:hint="eastAsia" w:eastAsiaTheme="majorEastAsia" w:cstheme="minorHAnsi"/>
          <w:kern w:val="0"/>
        </w:rPr>
        <w:t>项目</w:t>
      </w:r>
      <w:r>
        <w:rPr>
          <w:rFonts w:hint="eastAsia"/>
        </w:rPr>
        <w:t>日期</w:t>
      </w:r>
      <w:r>
        <w:t>】</w:t>
      </w:r>
      <w:r>
        <w:rPr>
          <w:rFonts w:hint="eastAsia"/>
        </w:rPr>
        <w:t xml:space="preserve"> 202</w:t>
      </w:r>
      <w:r>
        <w:rPr>
          <w:rFonts w:hint="eastAsia"/>
          <w:lang w:val="en-US" w:eastAsia="zh-CN"/>
        </w:rPr>
        <w:t>6年8月9日-8月16日</w:t>
      </w:r>
      <w:r>
        <w:rPr>
          <w:rFonts w:hint="eastAsia"/>
        </w:rPr>
        <w:t>（项目</w:t>
      </w:r>
      <w:r>
        <w:rPr>
          <w:rFonts w:hint="eastAsia"/>
          <w:lang w:val="en-US" w:eastAsia="zh-CN"/>
        </w:rPr>
        <w:t>总时长</w:t>
      </w:r>
      <w:r>
        <w:rPr>
          <w:rFonts w:hint="eastAsia"/>
        </w:rPr>
        <w:t>为期8天</w:t>
      </w:r>
      <w:r>
        <w:rPr>
          <w:rFonts w:hint="eastAsia"/>
          <w:lang w:eastAsia="zh-CN"/>
        </w:rPr>
        <w:t>）</w:t>
      </w:r>
      <w:r>
        <w:rPr>
          <w:rFonts w:hint="eastAsia"/>
        </w:rPr>
        <w:t>（项目</w:t>
      </w:r>
      <w:r>
        <w:rPr>
          <w:rFonts w:hint="eastAsia"/>
          <w:lang w:val="en-US" w:eastAsia="zh-CN"/>
        </w:rPr>
        <w:t>总时长</w:t>
      </w:r>
      <w:r>
        <w:rPr>
          <w:rFonts w:hint="eastAsia"/>
        </w:rPr>
        <w:t>为期8天</w:t>
      </w:r>
      <w:r>
        <w:rPr>
          <w:rFonts w:hint="eastAsia"/>
          <w:lang w:eastAsia="zh-CN"/>
        </w:rPr>
        <w:t>）（</w:t>
      </w:r>
      <w:r>
        <w:rPr>
          <w:rFonts w:hint="eastAsia"/>
          <w:lang w:val="en-US" w:eastAsia="zh-CN"/>
        </w:rPr>
        <w:t>项目日期仅为参考，</w:t>
      </w:r>
      <w:r>
        <w:rPr>
          <w:rFonts w:hint="eastAsia"/>
        </w:rPr>
        <w:t>实际</w:t>
      </w:r>
      <w:r>
        <w:rPr>
          <w:rFonts w:hint="eastAsia"/>
          <w:lang w:val="en-US" w:eastAsia="zh-CN"/>
        </w:rPr>
        <w:t>上课日期</w:t>
      </w:r>
      <w:r>
        <w:rPr>
          <w:rFonts w:hint="eastAsia"/>
        </w:rPr>
        <w:t>以</w:t>
      </w:r>
      <w:r>
        <w:rPr>
          <w:rFonts w:hint="eastAsia"/>
          <w:lang w:val="en-US" w:eastAsia="zh-CN"/>
        </w:rPr>
        <w:t>国大</w:t>
      </w:r>
      <w:r>
        <w:rPr>
          <w:rFonts w:hint="eastAsia"/>
        </w:rPr>
        <w:t>最终实际安排为准</w:t>
      </w:r>
      <w:r>
        <w:rPr>
          <w:rFonts w:hint="eastAsia"/>
          <w:lang w:eastAsia="zh-CN"/>
        </w:rPr>
        <w:t>）</w:t>
      </w:r>
    </w:p>
    <w:p w14:paraId="0469E60D">
      <w:pPr>
        <w:rPr>
          <w:rFonts w:hint="eastAsia"/>
          <w:lang w:eastAsia="zh-CN"/>
        </w:rPr>
      </w:pPr>
    </w:p>
    <w:p w14:paraId="51B15C53">
      <w:pPr>
        <w:rPr>
          <w:rFonts w:hint="eastAsia"/>
        </w:rPr>
      </w:pPr>
      <w:r>
        <w:rPr>
          <w:rFonts w:hint="eastAsia"/>
          <w:lang w:eastAsia="zh-CN"/>
        </w:rPr>
        <w:t>【</w:t>
      </w:r>
      <w:r>
        <w:rPr>
          <w:rFonts w:hint="eastAsia"/>
          <w:lang w:val="en-US" w:eastAsia="zh-CN"/>
        </w:rPr>
        <w:t>参考日程</w:t>
      </w:r>
      <w:r>
        <w:rPr>
          <w:rFonts w:hint="eastAsia"/>
          <w:lang w:eastAsia="zh-CN"/>
        </w:rPr>
        <w:t>】</w:t>
      </w:r>
      <w:r>
        <w:rPr>
          <w:rFonts w:hint="eastAsia"/>
        </w:rPr>
        <w:t xml:space="preserve"> </w:t>
      </w:r>
      <w:bookmarkStart w:id="0" w:name="_Hlk129190440"/>
    </w:p>
    <w:p w14:paraId="21693A7B">
      <w:pPr>
        <w:pStyle w:val="26"/>
        <w:numPr>
          <w:ilvl w:val="0"/>
          <w:numId w:val="7"/>
        </w:numPr>
        <w:ind w:left="420" w:leftChars="0" w:hanging="420" w:firstLineChars="0"/>
        <w:rPr>
          <w:sz w:val="21"/>
          <w:szCs w:val="21"/>
          <w:u w:val="none"/>
        </w:rPr>
      </w:pPr>
      <w:r>
        <w:rPr>
          <w:rFonts w:hint="eastAsia"/>
          <w:sz w:val="21"/>
          <w:szCs w:val="21"/>
          <w:u w:val="none"/>
        </w:rPr>
        <w:t>以</w:t>
      </w:r>
      <w:r>
        <w:rPr>
          <w:rFonts w:hint="eastAsia"/>
          <w:sz w:val="21"/>
          <w:szCs w:val="21"/>
          <w:u w:val="none"/>
          <w:lang w:val="en-US" w:eastAsia="zh-CN"/>
        </w:rPr>
        <w:t>下</w:t>
      </w:r>
      <w:r>
        <w:rPr>
          <w:rFonts w:hint="eastAsia"/>
          <w:sz w:val="21"/>
          <w:szCs w:val="21"/>
          <w:u w:val="none"/>
        </w:rPr>
        <w:t>行程仅为参考，实际行程以最终实际安排为准</w:t>
      </w:r>
    </w:p>
    <w:p w14:paraId="75EB5F92">
      <w:pPr>
        <w:pStyle w:val="26"/>
        <w:numPr>
          <w:ilvl w:val="0"/>
          <w:numId w:val="7"/>
        </w:numPr>
        <w:ind w:left="420" w:leftChars="0" w:hanging="420" w:firstLineChars="0"/>
        <w:rPr>
          <w:sz w:val="21"/>
          <w:szCs w:val="21"/>
          <w:u w:val="none"/>
        </w:rPr>
      </w:pPr>
      <w:r>
        <w:rPr>
          <w:rFonts w:hint="eastAsia"/>
          <w:sz w:val="21"/>
          <w:szCs w:val="21"/>
          <w:u w:val="none"/>
          <w:lang w:val="en-US" w:eastAsia="zh-CN"/>
        </w:rPr>
        <w:t>日程中仅蓝色底纹部分为学术部分，</w:t>
      </w:r>
      <w:r>
        <w:rPr>
          <w:rFonts w:hint="eastAsia"/>
          <w:color w:val="000000" w:themeColor="text1"/>
          <w:sz w:val="21"/>
          <w:szCs w:val="21"/>
          <w:u w:val="none"/>
          <w:lang w:val="en-US" w:eastAsia="zh-CN"/>
          <w14:textFill>
            <w14:solidFill>
              <w14:schemeClr w14:val="tx1"/>
            </w14:solidFill>
          </w14:textFill>
        </w:rPr>
        <w:t>即新加坡高校访学项目15小时教学</w:t>
      </w:r>
      <w:r>
        <w:rPr>
          <w:rFonts w:hint="eastAsia"/>
          <w:sz w:val="21"/>
          <w:szCs w:val="21"/>
          <w:u w:val="none"/>
          <w:lang w:val="en-US" w:eastAsia="zh-CN"/>
        </w:rPr>
        <w:t>部分</w:t>
      </w:r>
    </w:p>
    <w:p w14:paraId="2C5D81B7">
      <w:pPr>
        <w:pStyle w:val="26"/>
        <w:numPr>
          <w:ilvl w:val="0"/>
          <w:numId w:val="7"/>
        </w:numPr>
        <w:ind w:left="420" w:leftChars="0" w:hanging="420" w:firstLineChars="0"/>
        <w:rPr>
          <w:rFonts w:hint="eastAsia"/>
        </w:rPr>
      </w:pPr>
      <w:r>
        <w:rPr>
          <w:rFonts w:hint="eastAsia"/>
          <w:sz w:val="21"/>
          <w:szCs w:val="21"/>
          <w:u w:val="none"/>
          <w:lang w:val="en-US" w:eastAsia="zh-CN"/>
        </w:rPr>
        <w:t>其他项目期间的组织安排由项目组织方全美国际提供</w:t>
      </w:r>
    </w:p>
    <w:tbl>
      <w:tblPr>
        <w:tblStyle w:val="13"/>
        <w:tblW w:w="0" w:type="auto"/>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731"/>
        <w:gridCol w:w="6855"/>
      </w:tblGrid>
      <w:tr w14:paraId="2AA9A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14:paraId="34424CD1">
            <w:pPr>
              <w:jc w:val="center"/>
              <w:rPr>
                <w:rFonts w:asciiTheme="minorHAnsi" w:hAnsiTheme="minorHAnsi" w:eastAsiaTheme="majorEastAsia" w:cstheme="minorHAnsi"/>
                <w:b/>
                <w:bCs/>
              </w:rPr>
            </w:pPr>
            <w:r>
              <w:rPr>
                <w:rFonts w:hint="eastAsia"/>
                <w:b/>
                <w:bCs/>
              </w:rPr>
              <w:t>日期</w:t>
            </w:r>
          </w:p>
        </w:tc>
        <w:tc>
          <w:tcPr>
            <w:tcW w:w="731" w:type="dxa"/>
          </w:tcPr>
          <w:p w14:paraId="17BDA86A">
            <w:pPr>
              <w:jc w:val="center"/>
              <w:rPr>
                <w:b/>
                <w:bCs/>
              </w:rPr>
            </w:pPr>
            <w:r>
              <w:rPr>
                <w:rFonts w:hint="eastAsia"/>
                <w:b/>
                <w:bCs/>
              </w:rPr>
              <w:t>时间</w:t>
            </w:r>
          </w:p>
        </w:tc>
        <w:tc>
          <w:tcPr>
            <w:tcW w:w="6855" w:type="dxa"/>
          </w:tcPr>
          <w:p w14:paraId="396A4A88">
            <w:pPr>
              <w:jc w:val="center"/>
              <w:rPr>
                <w:rFonts w:asciiTheme="minorHAnsi" w:hAnsiTheme="minorHAnsi" w:eastAsiaTheme="majorEastAsia" w:cstheme="minorHAnsi"/>
                <w:b/>
                <w:bCs/>
              </w:rPr>
            </w:pPr>
            <w:r>
              <w:rPr>
                <w:rFonts w:hint="eastAsia"/>
                <w:b/>
                <w:bCs/>
              </w:rPr>
              <w:t>日程安排</w:t>
            </w:r>
          </w:p>
        </w:tc>
      </w:tr>
      <w:tr w14:paraId="51AE2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14:paraId="5EB044FC">
            <w:pPr>
              <w:jc w:val="both"/>
            </w:pPr>
            <w:r>
              <w:rPr>
                <w:rFonts w:hint="eastAsia"/>
              </w:rPr>
              <w:t>Day 1</w:t>
            </w:r>
          </w:p>
        </w:tc>
        <w:tc>
          <w:tcPr>
            <w:tcW w:w="731" w:type="dxa"/>
          </w:tcPr>
          <w:p w14:paraId="201FFB5D">
            <w:pPr>
              <w:jc w:val="both"/>
            </w:pPr>
            <w:r>
              <w:rPr>
                <w:rFonts w:hint="eastAsia"/>
              </w:rPr>
              <w:t>全天</w:t>
            </w:r>
          </w:p>
        </w:tc>
        <w:tc>
          <w:tcPr>
            <w:tcW w:w="6855" w:type="dxa"/>
          </w:tcPr>
          <w:p w14:paraId="22486CAC">
            <w:pPr>
              <w:jc w:val="both"/>
            </w:pPr>
            <w:r>
              <w:rPr>
                <w:rFonts w:hint="eastAsia"/>
              </w:rPr>
              <w:t>从国内出发，抵达新加坡</w:t>
            </w:r>
          </w:p>
        </w:tc>
      </w:tr>
      <w:tr w14:paraId="56A2E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Merge w:val="restart"/>
          </w:tcPr>
          <w:p w14:paraId="2DC16D4B">
            <w:pPr>
              <w:jc w:val="both"/>
            </w:pPr>
            <w:r>
              <w:t>Day</w:t>
            </w:r>
            <w:r>
              <w:rPr>
                <w:rFonts w:hint="eastAsia"/>
              </w:rPr>
              <w:t xml:space="preserve"> 2</w:t>
            </w:r>
          </w:p>
        </w:tc>
        <w:tc>
          <w:tcPr>
            <w:tcW w:w="731" w:type="dxa"/>
            <w:shd w:val="clear" w:color="auto" w:fill="C7DAF1" w:themeFill="text2" w:themeFillTint="32"/>
          </w:tcPr>
          <w:p w14:paraId="1964D799">
            <w:pPr>
              <w:jc w:val="both"/>
            </w:pPr>
            <w:r>
              <w:rPr>
                <w:rFonts w:hint="eastAsia"/>
              </w:rPr>
              <w:t>上午</w:t>
            </w:r>
          </w:p>
        </w:tc>
        <w:tc>
          <w:tcPr>
            <w:tcW w:w="6855" w:type="dxa"/>
            <w:shd w:val="clear" w:color="auto" w:fill="C7DAF1" w:themeFill="text2" w:themeFillTint="32"/>
          </w:tcPr>
          <w:p w14:paraId="7BE5CC67">
            <w:pPr>
              <w:jc w:val="both"/>
              <w:rPr>
                <w:rFonts w:hint="default" w:eastAsia="宋体"/>
                <w:b/>
                <w:bCs/>
                <w:lang w:val="en-US" w:eastAsia="zh-CN"/>
              </w:rPr>
            </w:pPr>
            <w:r>
              <w:rPr>
                <w:rFonts w:hint="eastAsia"/>
                <w:b/>
                <w:bCs/>
                <w:lang w:val="en-US" w:eastAsia="zh-CN"/>
              </w:rPr>
              <w:t>欢迎仪式暨课前说明会</w:t>
            </w:r>
          </w:p>
          <w:p w14:paraId="0DCD2422">
            <w:pPr>
              <w:jc w:val="both"/>
              <w:rPr>
                <w:rFonts w:hint="eastAsia"/>
                <w:b/>
                <w:bCs/>
                <w:lang w:val="en-US" w:eastAsia="zh-CN"/>
              </w:rPr>
            </w:pPr>
            <w:r>
              <w:rPr>
                <w:rFonts w:hint="eastAsia"/>
                <w:b/>
                <w:bCs/>
              </w:rPr>
              <w:t>【专题讲座】</w:t>
            </w:r>
            <w:r>
              <w:rPr>
                <w:rFonts w:hint="eastAsia"/>
                <w:b/>
                <w:bCs/>
                <w:lang w:val="en-US" w:eastAsia="zh-CN"/>
              </w:rPr>
              <w:t>支付体系专题</w:t>
            </w:r>
          </w:p>
          <w:p w14:paraId="5A589E39">
            <w:pPr>
              <w:jc w:val="both"/>
              <w:rPr>
                <w:rFonts w:hint="default"/>
                <w:b/>
                <w:bCs/>
                <w:lang w:val="en-US" w:eastAsia="zh-CN"/>
              </w:rPr>
            </w:pPr>
            <w:r>
              <w:rPr>
                <w:rFonts w:hint="eastAsia"/>
                <w:b/>
                <w:bCs/>
                <w:lang w:val="en-US" w:eastAsia="zh-CN"/>
              </w:rPr>
              <w:t>Payment</w:t>
            </w:r>
          </w:p>
          <w:p w14:paraId="2793F799">
            <w:pPr>
              <w:jc w:val="both"/>
              <w:rPr>
                <w:rFonts w:hint="eastAsia"/>
                <w:b w:val="0"/>
                <w:bCs w:val="0"/>
                <w:lang w:val="en-US" w:eastAsia="zh-CN"/>
              </w:rPr>
            </w:pPr>
            <w:r>
              <w:rPr>
                <w:rFonts w:hint="eastAsia"/>
                <w:b w:val="0"/>
                <w:bCs w:val="0"/>
                <w:lang w:val="en-US" w:eastAsia="zh-CN"/>
              </w:rPr>
              <w:t>传统支付交易与新技术：及时支付清算及智能合约理念</w:t>
            </w:r>
          </w:p>
          <w:p w14:paraId="24B95E0B">
            <w:pPr>
              <w:jc w:val="both"/>
            </w:pPr>
            <w:r>
              <w:rPr>
                <w:rFonts w:hint="eastAsia"/>
                <w:b w:val="0"/>
                <w:bCs w:val="0"/>
              </w:rPr>
              <w:t>案例分析</w:t>
            </w:r>
          </w:p>
        </w:tc>
      </w:tr>
      <w:tr w14:paraId="56057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Merge w:val="continue"/>
          </w:tcPr>
          <w:p w14:paraId="03591B95">
            <w:pPr>
              <w:jc w:val="both"/>
            </w:pPr>
          </w:p>
        </w:tc>
        <w:tc>
          <w:tcPr>
            <w:tcW w:w="731" w:type="dxa"/>
          </w:tcPr>
          <w:p w14:paraId="4E16CE24">
            <w:pPr>
              <w:jc w:val="both"/>
            </w:pPr>
            <w:r>
              <w:rPr>
                <w:rFonts w:hint="eastAsia"/>
              </w:rPr>
              <w:t>下午</w:t>
            </w:r>
          </w:p>
        </w:tc>
        <w:tc>
          <w:tcPr>
            <w:tcW w:w="6855" w:type="dxa"/>
          </w:tcPr>
          <w:p w14:paraId="1F1C313C">
            <w:pPr>
              <w:jc w:val="both"/>
            </w:pPr>
            <w:r>
              <w:rPr>
                <w:rFonts w:hint="eastAsia" w:ascii="Arial" w:hAnsi="Arial" w:cs="Arial"/>
                <w:spacing w:val="-1"/>
                <w:szCs w:val="21"/>
              </w:rPr>
              <w:t>Campus Tour 校园游览 熟悉校园环境、生活及交通设施</w:t>
            </w:r>
          </w:p>
        </w:tc>
      </w:tr>
      <w:tr w14:paraId="7B669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Merge w:val="restart"/>
          </w:tcPr>
          <w:p w14:paraId="565EBAA1">
            <w:pPr>
              <w:jc w:val="both"/>
            </w:pPr>
            <w:r>
              <w:rPr>
                <w:rFonts w:hint="eastAsia"/>
              </w:rPr>
              <w:t>Day 3</w:t>
            </w:r>
          </w:p>
        </w:tc>
        <w:tc>
          <w:tcPr>
            <w:tcW w:w="731" w:type="dxa"/>
            <w:shd w:val="clear" w:color="auto" w:fill="C7DAF1" w:themeFill="text2" w:themeFillTint="32"/>
          </w:tcPr>
          <w:p w14:paraId="3ABFE8F2">
            <w:pPr>
              <w:jc w:val="both"/>
            </w:pPr>
            <w:r>
              <w:rPr>
                <w:rFonts w:hint="eastAsia"/>
              </w:rPr>
              <w:t>上午</w:t>
            </w:r>
          </w:p>
        </w:tc>
        <w:tc>
          <w:tcPr>
            <w:tcW w:w="6855" w:type="dxa"/>
            <w:shd w:val="clear" w:color="auto" w:fill="C7DAF1" w:themeFill="text2" w:themeFillTint="32"/>
          </w:tcPr>
          <w:p w14:paraId="39561B26">
            <w:pPr>
              <w:jc w:val="both"/>
              <w:rPr>
                <w:rFonts w:hint="eastAsia"/>
                <w:b/>
                <w:bCs/>
                <w:lang w:val="en-US" w:eastAsia="zh-CN"/>
              </w:rPr>
            </w:pPr>
            <w:r>
              <w:rPr>
                <w:rFonts w:hint="eastAsia"/>
                <w:b/>
                <w:bCs/>
              </w:rPr>
              <w:t>【专题讲座】</w:t>
            </w:r>
            <w:r>
              <w:rPr>
                <w:rFonts w:hint="eastAsia"/>
                <w:b/>
                <w:bCs/>
                <w:lang w:val="en-US" w:eastAsia="zh-CN"/>
              </w:rPr>
              <w:t>分布式账本技术与金融应用</w:t>
            </w:r>
          </w:p>
          <w:p w14:paraId="07092240">
            <w:pPr>
              <w:jc w:val="both"/>
              <w:rPr>
                <w:rFonts w:hint="default"/>
                <w:b/>
                <w:bCs/>
                <w:lang w:val="en-US" w:eastAsia="zh-CN"/>
              </w:rPr>
            </w:pPr>
            <w:r>
              <w:rPr>
                <w:rFonts w:hint="default"/>
                <w:b/>
                <w:bCs/>
                <w:lang w:val="en-US" w:eastAsia="zh-CN"/>
              </w:rPr>
              <w:t>Distributed Ledger Technology and Finance</w:t>
            </w:r>
          </w:p>
          <w:p w14:paraId="2AF4277B">
            <w:pPr>
              <w:jc w:val="both"/>
              <w:rPr>
                <w:rFonts w:hint="eastAsia"/>
                <w:lang w:val="en-US" w:eastAsia="zh-CN"/>
              </w:rPr>
            </w:pPr>
            <w:r>
              <w:rPr>
                <w:rFonts w:hint="eastAsia"/>
                <w:lang w:val="en-US" w:eastAsia="zh-CN"/>
              </w:rPr>
              <w:t>加密货币、稳定币与央行数字货币：成功案例、失败教训、潜在风险及应对策略</w:t>
            </w:r>
          </w:p>
          <w:p w14:paraId="48751225">
            <w:pPr>
              <w:jc w:val="both"/>
            </w:pPr>
            <w:r>
              <w:rPr>
                <w:rFonts w:hint="eastAsia"/>
              </w:rPr>
              <w:t>案例分析</w:t>
            </w:r>
          </w:p>
        </w:tc>
      </w:tr>
      <w:tr w14:paraId="0B019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Merge w:val="continue"/>
          </w:tcPr>
          <w:p w14:paraId="4ABC5EF1">
            <w:pPr>
              <w:jc w:val="both"/>
            </w:pPr>
          </w:p>
        </w:tc>
        <w:tc>
          <w:tcPr>
            <w:tcW w:w="731" w:type="dxa"/>
          </w:tcPr>
          <w:p w14:paraId="079F49DE">
            <w:pPr>
              <w:jc w:val="both"/>
            </w:pPr>
            <w:r>
              <w:rPr>
                <w:rFonts w:hint="eastAsia"/>
              </w:rPr>
              <w:t>下午</w:t>
            </w:r>
          </w:p>
        </w:tc>
        <w:tc>
          <w:tcPr>
            <w:tcW w:w="6855" w:type="dxa"/>
          </w:tcPr>
          <w:p w14:paraId="3061C8EB">
            <w:pPr>
              <w:jc w:val="both"/>
              <w:rPr>
                <w:rFonts w:hint="eastAsia" w:ascii="宋体" w:hAnsi="宋体" w:cs="宋体"/>
                <w:szCs w:val="21"/>
              </w:rPr>
            </w:pPr>
            <w:r>
              <w:rPr>
                <w:rFonts w:hint="eastAsia" w:ascii="宋体" w:hAnsi="宋体" w:cs="宋体"/>
                <w:b/>
                <w:bCs/>
                <w:szCs w:val="21"/>
              </w:rPr>
              <w:t>【文化参访】</w:t>
            </w:r>
            <w:r>
              <w:rPr>
                <w:rFonts w:hint="eastAsia" w:ascii="宋体" w:hAnsi="宋体" w:cs="宋体"/>
                <w:szCs w:val="21"/>
              </w:rPr>
              <w:t>市区重建局新加坡城市展览馆</w:t>
            </w:r>
            <w:r>
              <w:rPr>
                <w:rFonts w:hint="eastAsia" w:ascii="宋体" w:hAnsi="宋体" w:cs="宋体"/>
                <w:b w:val="0"/>
                <w:bCs w:val="0"/>
                <w:szCs w:val="21"/>
                <w:lang w:eastAsia="zh-CN"/>
              </w:rPr>
              <w:t>（</w:t>
            </w:r>
            <w:r>
              <w:rPr>
                <w:rFonts w:hint="eastAsia" w:ascii="宋体" w:hAnsi="宋体" w:cs="宋体"/>
                <w:b w:val="0"/>
                <w:bCs w:val="0"/>
                <w:szCs w:val="21"/>
                <w:lang w:val="en-US" w:eastAsia="zh-CN"/>
              </w:rPr>
              <w:t>以实际安排为准</w:t>
            </w:r>
            <w:r>
              <w:rPr>
                <w:rFonts w:hint="eastAsia" w:ascii="宋体" w:hAnsi="宋体" w:cs="宋体"/>
                <w:b w:val="0"/>
                <w:bCs w:val="0"/>
                <w:szCs w:val="21"/>
                <w:lang w:eastAsia="zh-CN"/>
              </w:rPr>
              <w:t>）</w:t>
            </w:r>
          </w:p>
          <w:p w14:paraId="59E070D3">
            <w:pPr>
              <w:jc w:val="both"/>
            </w:pPr>
            <w:r>
              <w:rPr>
                <w:rFonts w:hint="eastAsia"/>
              </w:rPr>
              <w:t>新加坡市区重建局的新加坡城市馆，是一个体验中心。外国的考察团、要人和公众，经常前往参观。</w:t>
            </w:r>
          </w:p>
        </w:tc>
      </w:tr>
      <w:tr w14:paraId="1CA9A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Merge w:val="restart"/>
          </w:tcPr>
          <w:p w14:paraId="47F9115F">
            <w:pPr>
              <w:jc w:val="both"/>
            </w:pPr>
            <w:r>
              <w:rPr>
                <w:rFonts w:hint="eastAsia"/>
              </w:rPr>
              <w:t>Day 4</w:t>
            </w:r>
          </w:p>
        </w:tc>
        <w:tc>
          <w:tcPr>
            <w:tcW w:w="731" w:type="dxa"/>
            <w:shd w:val="clear" w:color="auto" w:fill="C7DAF1" w:themeFill="text2" w:themeFillTint="32"/>
          </w:tcPr>
          <w:p w14:paraId="18022A6F">
            <w:pPr>
              <w:jc w:val="both"/>
            </w:pPr>
            <w:r>
              <w:rPr>
                <w:rFonts w:hint="eastAsia"/>
              </w:rPr>
              <w:t>上午</w:t>
            </w:r>
          </w:p>
        </w:tc>
        <w:tc>
          <w:tcPr>
            <w:tcW w:w="6855" w:type="dxa"/>
            <w:shd w:val="clear" w:color="auto" w:fill="C7DAF1" w:themeFill="text2" w:themeFillTint="32"/>
          </w:tcPr>
          <w:p w14:paraId="0358986C">
            <w:pPr>
              <w:jc w:val="both"/>
              <w:rPr>
                <w:rFonts w:hint="eastAsia"/>
                <w:b/>
                <w:bCs/>
                <w:lang w:val="en-US" w:eastAsia="zh-CN"/>
              </w:rPr>
            </w:pPr>
            <w:r>
              <w:rPr>
                <w:rFonts w:hint="eastAsia"/>
                <w:b/>
                <w:bCs/>
              </w:rPr>
              <w:t>【专题讲座】</w:t>
            </w:r>
            <w:r>
              <w:rPr>
                <w:rFonts w:hint="eastAsia"/>
                <w:b/>
                <w:bCs/>
                <w:lang w:val="en-US" w:eastAsia="zh-CN"/>
              </w:rPr>
              <w:t>监管沙盒</w:t>
            </w:r>
          </w:p>
          <w:p w14:paraId="43B3F015">
            <w:pPr>
              <w:jc w:val="both"/>
              <w:rPr>
                <w:rFonts w:hint="default"/>
                <w:b/>
                <w:bCs/>
                <w:lang w:val="en-US" w:eastAsia="zh-CN"/>
              </w:rPr>
            </w:pPr>
            <w:r>
              <w:rPr>
                <w:rFonts w:hint="default"/>
                <w:b/>
                <w:bCs/>
                <w:lang w:val="en-US" w:eastAsia="zh-CN"/>
              </w:rPr>
              <w:t>Regulatory Sandbox</w:t>
            </w:r>
          </w:p>
          <w:p w14:paraId="304BB08B">
            <w:pPr>
              <w:jc w:val="both"/>
              <w:rPr>
                <w:rFonts w:hint="default"/>
                <w:b w:val="0"/>
                <w:bCs w:val="0"/>
                <w:lang w:val="en-US" w:eastAsia="zh-CN"/>
              </w:rPr>
            </w:pPr>
            <w:r>
              <w:rPr>
                <w:rFonts w:hint="default"/>
                <w:b w:val="0"/>
                <w:bCs w:val="0"/>
                <w:lang w:val="en-US" w:eastAsia="zh-CN"/>
              </w:rPr>
              <w:t>监管沙盒的定义与目标、法律框架构建、不同司法管辖区实践对比（如英国、新加坡）及设立中的法律挑战</w:t>
            </w:r>
          </w:p>
          <w:p w14:paraId="01663D15">
            <w:pPr>
              <w:jc w:val="both"/>
              <w:rPr>
                <w:rFonts w:hint="eastAsia" w:ascii="宋体" w:hAnsi="宋体" w:cs="宋体"/>
                <w:szCs w:val="21"/>
              </w:rPr>
            </w:pPr>
            <w:r>
              <w:rPr>
                <w:rFonts w:hint="eastAsia"/>
              </w:rPr>
              <w:t>案例分析</w:t>
            </w:r>
          </w:p>
        </w:tc>
      </w:tr>
      <w:tr w14:paraId="0EC1D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Merge w:val="continue"/>
          </w:tcPr>
          <w:p w14:paraId="3668EFC4">
            <w:pPr>
              <w:jc w:val="both"/>
            </w:pPr>
          </w:p>
        </w:tc>
        <w:tc>
          <w:tcPr>
            <w:tcW w:w="731" w:type="dxa"/>
          </w:tcPr>
          <w:p w14:paraId="3C8B0635">
            <w:pPr>
              <w:jc w:val="both"/>
            </w:pPr>
            <w:r>
              <w:rPr>
                <w:rFonts w:hint="eastAsia"/>
              </w:rPr>
              <w:t>下午</w:t>
            </w:r>
          </w:p>
        </w:tc>
        <w:tc>
          <w:tcPr>
            <w:tcW w:w="6855" w:type="dxa"/>
          </w:tcPr>
          <w:p w14:paraId="2C74F3B2">
            <w:pPr>
              <w:keepNext w:val="0"/>
              <w:keepLines w:val="0"/>
              <w:suppressLineNumbers w:val="0"/>
              <w:spacing w:before="0" w:beforeAutospacing="0" w:after="0" w:afterAutospacing="0"/>
              <w:ind w:left="0" w:right="0"/>
              <w:jc w:val="both"/>
              <w:rPr>
                <w:rFonts w:hint="eastAsia"/>
                <w:b/>
                <w:bCs/>
                <w:lang w:val="en-US" w:eastAsia="zh-CN"/>
              </w:rPr>
            </w:pPr>
            <w:r>
              <w:rPr>
                <w:rFonts w:hint="eastAsia"/>
                <w:b/>
                <w:bCs/>
              </w:rPr>
              <w:t>【</w:t>
            </w:r>
            <w:r>
              <w:rPr>
                <w:rFonts w:hint="eastAsia"/>
                <w:b/>
                <w:bCs/>
                <w:lang w:val="en-US" w:eastAsia="zh-CN"/>
              </w:rPr>
              <w:t>机构</w:t>
            </w:r>
            <w:r>
              <w:rPr>
                <w:rFonts w:hint="eastAsia"/>
                <w:b/>
                <w:bCs/>
              </w:rPr>
              <w:t>参访】</w:t>
            </w:r>
            <w:r>
              <w:rPr>
                <w:rFonts w:hint="eastAsia"/>
                <w:b/>
                <w:bCs/>
                <w:lang w:val="en-US" w:eastAsia="zh-CN"/>
              </w:rPr>
              <w:t>高等法院</w:t>
            </w:r>
            <w:r>
              <w:rPr>
                <w:rFonts w:hint="eastAsia"/>
                <w:b w:val="0"/>
                <w:bCs w:val="0"/>
                <w:lang w:val="en-US" w:eastAsia="zh-CN"/>
              </w:rPr>
              <w:t>（以实际参访为准）</w:t>
            </w:r>
          </w:p>
          <w:p w14:paraId="18BDB158">
            <w:pPr>
              <w:jc w:val="both"/>
            </w:pPr>
            <w:r>
              <w:rPr>
                <w:rFonts w:hint="default"/>
                <w:lang w:val="en-US" w:eastAsia="zh-CN"/>
              </w:rPr>
              <w:t>沉浸式参观司法遗产馆（Judicial Heritage Gallery），深入了解新加坡司法体系的发展脉络</w:t>
            </w:r>
            <w:r>
              <w:rPr>
                <w:rFonts w:hint="eastAsia"/>
                <w:lang w:val="en-US" w:eastAsia="zh-CN"/>
              </w:rPr>
              <w:t>。还有机会旁听庭审，亲身观摩了新加坡法官与律师在法庭上的专业交锋与严谨辩论。</w:t>
            </w:r>
          </w:p>
        </w:tc>
      </w:tr>
      <w:tr w14:paraId="74663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Merge w:val="restart"/>
          </w:tcPr>
          <w:p w14:paraId="796F5BC4">
            <w:pPr>
              <w:jc w:val="both"/>
            </w:pPr>
            <w:r>
              <w:rPr>
                <w:rFonts w:hint="eastAsia"/>
              </w:rPr>
              <w:t>Day 5</w:t>
            </w:r>
          </w:p>
        </w:tc>
        <w:tc>
          <w:tcPr>
            <w:tcW w:w="731" w:type="dxa"/>
            <w:shd w:val="clear" w:color="auto" w:fill="C7DAF1" w:themeFill="text2" w:themeFillTint="32"/>
          </w:tcPr>
          <w:p w14:paraId="201EB681">
            <w:pPr>
              <w:jc w:val="both"/>
            </w:pPr>
            <w:r>
              <w:rPr>
                <w:rFonts w:hint="eastAsia"/>
              </w:rPr>
              <w:t>上午</w:t>
            </w:r>
          </w:p>
        </w:tc>
        <w:tc>
          <w:tcPr>
            <w:tcW w:w="6855" w:type="dxa"/>
            <w:shd w:val="clear" w:color="auto" w:fill="C7DAF1" w:themeFill="text2" w:themeFillTint="32"/>
          </w:tcPr>
          <w:p w14:paraId="5B243A0B">
            <w:pPr>
              <w:jc w:val="both"/>
              <w:rPr>
                <w:rFonts w:hint="eastAsia"/>
                <w:b/>
                <w:bCs/>
                <w:lang w:val="en-US" w:eastAsia="zh-CN"/>
              </w:rPr>
            </w:pPr>
            <w:r>
              <w:rPr>
                <w:rFonts w:hint="eastAsia"/>
                <w:b/>
                <w:bCs/>
              </w:rPr>
              <w:t>【专题讲座】</w:t>
            </w:r>
            <w:r>
              <w:rPr>
                <w:rFonts w:hint="eastAsia"/>
                <w:b/>
                <w:bCs/>
                <w:lang w:val="en-US" w:eastAsia="zh-CN"/>
              </w:rPr>
              <w:t>众筹专题</w:t>
            </w:r>
          </w:p>
          <w:p w14:paraId="78207849">
            <w:pPr>
              <w:jc w:val="both"/>
              <w:rPr>
                <w:rFonts w:hint="default"/>
                <w:b/>
                <w:bCs/>
                <w:lang w:val="en-US" w:eastAsia="zh-CN"/>
              </w:rPr>
            </w:pPr>
            <w:r>
              <w:rPr>
                <w:rFonts w:hint="default"/>
                <w:b/>
                <w:bCs/>
                <w:lang w:val="en-US" w:eastAsia="zh-CN"/>
              </w:rPr>
              <w:t>Crowdfunding</w:t>
            </w:r>
          </w:p>
          <w:p w14:paraId="1DC0106C">
            <w:pPr>
              <w:jc w:val="both"/>
              <w:rPr>
                <w:rFonts w:hint="eastAsia"/>
              </w:rPr>
            </w:pPr>
            <w:r>
              <w:rPr>
                <w:rFonts w:hint="eastAsia"/>
              </w:rPr>
              <w:t>众筹类型划分、生态核心参与方（平台、投资者、创业者）；股权众筹监管框架、不同司法管辖区规则对比（如美国、新加坡、中国）及平台核心作用</w:t>
            </w:r>
          </w:p>
          <w:p w14:paraId="4E79ED60">
            <w:pPr>
              <w:jc w:val="both"/>
              <w:rPr>
                <w:rFonts w:hint="eastAsia"/>
              </w:rPr>
            </w:pPr>
            <w:r>
              <w:rPr>
                <w:rFonts w:hint="eastAsia"/>
              </w:rPr>
              <w:t>案例分析</w:t>
            </w:r>
          </w:p>
        </w:tc>
      </w:tr>
      <w:tr w14:paraId="6C8E9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Merge w:val="continue"/>
          </w:tcPr>
          <w:p w14:paraId="3D1EDAB3">
            <w:pPr>
              <w:jc w:val="both"/>
            </w:pPr>
          </w:p>
        </w:tc>
        <w:tc>
          <w:tcPr>
            <w:tcW w:w="731" w:type="dxa"/>
          </w:tcPr>
          <w:p w14:paraId="1D986C85">
            <w:pPr>
              <w:jc w:val="both"/>
            </w:pPr>
            <w:r>
              <w:rPr>
                <w:rFonts w:hint="eastAsia"/>
              </w:rPr>
              <w:t>下午</w:t>
            </w:r>
          </w:p>
        </w:tc>
        <w:tc>
          <w:tcPr>
            <w:tcW w:w="6855" w:type="dxa"/>
          </w:tcPr>
          <w:p w14:paraId="133C42AD">
            <w:pPr>
              <w:keepNext w:val="0"/>
              <w:keepLines w:val="0"/>
              <w:suppressLineNumbers w:val="0"/>
              <w:spacing w:before="0" w:beforeAutospacing="0" w:after="0" w:afterAutospacing="0"/>
              <w:ind w:left="416" w:right="0" w:hanging="420" w:hangingChars="200"/>
              <w:jc w:val="both"/>
              <w:rPr>
                <w:rFonts w:hint="default" w:eastAsia="宋体"/>
                <w:lang w:val="en-US" w:eastAsia="zh-CN"/>
              </w:rPr>
            </w:pPr>
            <w:r>
              <w:rPr>
                <w:rFonts w:hint="eastAsia"/>
                <w:b w:val="0"/>
                <w:bCs w:val="0"/>
                <w:lang w:val="en-US" w:eastAsia="zh-CN"/>
              </w:rPr>
              <w:t>结业演讲准备</w:t>
            </w:r>
          </w:p>
        </w:tc>
      </w:tr>
      <w:tr w14:paraId="55495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Merge w:val="restart"/>
          </w:tcPr>
          <w:p w14:paraId="275FDAEA">
            <w:pPr>
              <w:jc w:val="both"/>
            </w:pPr>
            <w:r>
              <w:rPr>
                <w:rFonts w:hint="eastAsia"/>
              </w:rPr>
              <w:t>Day 6</w:t>
            </w:r>
          </w:p>
        </w:tc>
        <w:tc>
          <w:tcPr>
            <w:tcW w:w="731" w:type="dxa"/>
            <w:shd w:val="clear" w:color="auto" w:fill="C7DAF1" w:themeFill="text2" w:themeFillTint="32"/>
          </w:tcPr>
          <w:p w14:paraId="7055F0E7">
            <w:pPr>
              <w:jc w:val="both"/>
            </w:pPr>
            <w:r>
              <w:rPr>
                <w:rFonts w:hint="eastAsia"/>
              </w:rPr>
              <w:t>上午</w:t>
            </w:r>
          </w:p>
        </w:tc>
        <w:tc>
          <w:tcPr>
            <w:tcW w:w="6855" w:type="dxa"/>
            <w:shd w:val="clear" w:color="auto" w:fill="C7DAF1" w:themeFill="text2" w:themeFillTint="32"/>
          </w:tcPr>
          <w:p w14:paraId="6EBA8628">
            <w:pPr>
              <w:pStyle w:val="22"/>
              <w:numPr>
                <w:ilvl w:val="0"/>
                <w:numId w:val="0"/>
              </w:numPr>
              <w:jc w:val="both"/>
              <w:rPr>
                <w:rFonts w:hint="eastAsia"/>
                <w:b/>
                <w:bCs/>
                <w:lang w:eastAsia="zh-CN"/>
              </w:rPr>
            </w:pPr>
            <w:r>
              <w:rPr>
                <w:rFonts w:hint="eastAsia"/>
                <w:b/>
                <w:bCs/>
                <w:lang w:eastAsia="zh-CN"/>
              </w:rPr>
              <w:t>【</w:t>
            </w:r>
            <w:r>
              <w:rPr>
                <w:rFonts w:hint="eastAsia"/>
                <w:b/>
                <w:bCs/>
                <w:lang w:val="en-US" w:eastAsia="zh-CN"/>
              </w:rPr>
              <w:t>访学汇报</w:t>
            </w:r>
            <w:r>
              <w:rPr>
                <w:rFonts w:hint="eastAsia"/>
                <w:b/>
                <w:bCs/>
                <w:lang w:eastAsia="zh-CN"/>
              </w:rPr>
              <w:t>】</w:t>
            </w:r>
          </w:p>
          <w:p w14:paraId="5BA01EA7">
            <w:pPr>
              <w:pStyle w:val="22"/>
              <w:numPr>
                <w:ilvl w:val="0"/>
                <w:numId w:val="0"/>
              </w:numPr>
              <w:jc w:val="both"/>
              <w:rPr>
                <w:rFonts w:hint="eastAsia" w:asciiTheme="minorHAnsi" w:hAnsiTheme="minorHAnsi" w:cstheme="minorHAnsi"/>
                <w:b/>
                <w:bCs/>
              </w:rPr>
            </w:pPr>
            <w:r>
              <w:rPr>
                <w:rFonts w:hint="eastAsia"/>
                <w:b/>
                <w:bCs/>
              </w:rPr>
              <w:t>项目结业陈述（</w:t>
            </w:r>
            <w:r>
              <w:rPr>
                <w:rFonts w:hint="eastAsia" w:asciiTheme="minorHAnsi" w:hAnsiTheme="minorHAnsi" w:cstheme="minorHAnsi"/>
                <w:b/>
                <w:bCs/>
              </w:rPr>
              <w:t>Final Project Presentation）</w:t>
            </w:r>
          </w:p>
          <w:p w14:paraId="7B9CFB61">
            <w:pPr>
              <w:pStyle w:val="22"/>
              <w:numPr>
                <w:ilvl w:val="0"/>
                <w:numId w:val="0"/>
              </w:numPr>
              <w:jc w:val="both"/>
              <w:rPr>
                <w:rFonts w:hint="eastAsia"/>
              </w:rPr>
            </w:pPr>
            <w:r>
              <w:rPr>
                <w:rFonts w:hint="eastAsia" w:asciiTheme="minorHAnsi" w:hAnsiTheme="minorHAnsi" w:cstheme="minorHAnsi"/>
              </w:rPr>
              <w:t>结业典礼</w:t>
            </w:r>
          </w:p>
        </w:tc>
      </w:tr>
      <w:tr w14:paraId="51757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Merge w:val="continue"/>
          </w:tcPr>
          <w:p w14:paraId="25387416">
            <w:pPr>
              <w:jc w:val="both"/>
            </w:pPr>
          </w:p>
        </w:tc>
        <w:tc>
          <w:tcPr>
            <w:tcW w:w="731" w:type="dxa"/>
          </w:tcPr>
          <w:p w14:paraId="079A8AD3">
            <w:pPr>
              <w:jc w:val="both"/>
            </w:pPr>
            <w:r>
              <w:rPr>
                <w:rFonts w:hint="eastAsia"/>
              </w:rPr>
              <w:t>下午</w:t>
            </w:r>
          </w:p>
        </w:tc>
        <w:tc>
          <w:tcPr>
            <w:tcW w:w="6855" w:type="dxa"/>
          </w:tcPr>
          <w:p w14:paraId="3E7889F0">
            <w:pPr>
              <w:ind w:left="420" w:hanging="420" w:hangingChars="200"/>
              <w:jc w:val="both"/>
              <w:rPr>
                <w:rFonts w:hint="eastAsia"/>
              </w:rPr>
            </w:pPr>
            <w:r>
              <w:rPr>
                <w:rFonts w:hint="eastAsia"/>
              </w:rPr>
              <w:t>城市自由探索</w:t>
            </w:r>
          </w:p>
          <w:p w14:paraId="1F9AA9A9">
            <w:pPr>
              <w:ind w:left="420" w:hanging="416" w:hangingChars="200"/>
              <w:jc w:val="both"/>
              <w:rPr>
                <w:rFonts w:hint="eastAsia"/>
              </w:rPr>
            </w:pPr>
            <w:r>
              <w:rPr>
                <w:rFonts w:hint="default" w:ascii="Arial" w:hAnsi="Arial" w:eastAsia="宋体" w:cs="Arial"/>
                <w:spacing w:val="-1"/>
                <w:sz w:val="21"/>
                <w:szCs w:val="21"/>
                <w:lang w:eastAsia="zh-CN"/>
                <w:woUserID w:val="1"/>
              </w:rPr>
              <w:t>推荐参考路线：</w:t>
            </w:r>
            <w:r>
              <w:rPr>
                <w:rFonts w:hint="eastAsia" w:ascii="Arial" w:hAnsi="Arial" w:eastAsia="宋体" w:cs="Arial"/>
                <w:spacing w:val="-1"/>
                <w:sz w:val="21"/>
                <w:szCs w:val="21"/>
                <w:lang w:eastAsia="zh-CN"/>
                <w:woUserID w:val="1"/>
              </w:rPr>
              <w:t>新加坡植物园或新加坡河游船等</w:t>
            </w:r>
          </w:p>
        </w:tc>
      </w:tr>
      <w:tr w14:paraId="42B5B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14:paraId="22DFB27A">
            <w:pPr>
              <w:jc w:val="both"/>
            </w:pPr>
            <w:r>
              <w:rPr>
                <w:rFonts w:hint="eastAsia"/>
              </w:rPr>
              <w:t>Day 7</w:t>
            </w:r>
          </w:p>
        </w:tc>
        <w:tc>
          <w:tcPr>
            <w:tcW w:w="731" w:type="dxa"/>
          </w:tcPr>
          <w:p w14:paraId="0AE0C872">
            <w:pPr>
              <w:jc w:val="both"/>
            </w:pPr>
            <w:r>
              <w:rPr>
                <w:rFonts w:hint="eastAsia"/>
              </w:rPr>
              <w:t>全天</w:t>
            </w:r>
          </w:p>
        </w:tc>
        <w:tc>
          <w:tcPr>
            <w:tcW w:w="6855" w:type="dxa"/>
          </w:tcPr>
          <w:p w14:paraId="1CE4995A">
            <w:pPr>
              <w:keepNext w:val="0"/>
              <w:keepLines w:val="0"/>
              <w:suppressLineNumbers w:val="0"/>
              <w:spacing w:before="0" w:beforeAutospacing="0" w:after="0" w:afterAutospacing="0"/>
              <w:ind w:left="416" w:right="0" w:hanging="416" w:hangingChars="200"/>
              <w:jc w:val="both"/>
              <w:rPr>
                <w:rFonts w:hint="eastAsia" w:ascii="Arial" w:hAnsi="Arial" w:cs="Arial"/>
                <w:spacing w:val="-1"/>
                <w:szCs w:val="21"/>
              </w:rPr>
            </w:pPr>
            <w:r>
              <w:rPr>
                <w:rFonts w:hint="eastAsia" w:ascii="Arial" w:hAnsi="Arial" w:cs="Arial"/>
                <w:spacing w:val="-1"/>
                <w:szCs w:val="21"/>
              </w:rPr>
              <w:t>城市自由探索</w:t>
            </w:r>
          </w:p>
          <w:p w14:paraId="6DE599CD">
            <w:pPr>
              <w:pStyle w:val="10"/>
              <w:keepNext w:val="0"/>
              <w:keepLines w:val="0"/>
              <w:widowControl/>
              <w:suppressLineNumbers w:val="0"/>
              <w:spacing w:before="168" w:beforeAutospacing="0" w:after="0" w:afterAutospacing="0" w:line="175" w:lineRule="auto"/>
              <w:ind w:left="0" w:right="0" w:firstLine="0"/>
              <w:jc w:val="left"/>
              <w:rPr>
                <w:rFonts w:hint="default"/>
              </w:rPr>
            </w:pPr>
            <w:r>
              <w:rPr>
                <w:rFonts w:hint="eastAsia" w:ascii="Arial" w:hAnsi="Arial" w:cs="Arial"/>
                <w:spacing w:val="-1"/>
                <w:sz w:val="21"/>
                <w:szCs w:val="21"/>
                <w:lang w:val="en-US" w:eastAsia="zh-CN"/>
              </w:rPr>
              <w:t>推荐路线：</w:t>
            </w:r>
            <w:r>
              <w:rPr>
                <w:rFonts w:hint="eastAsia" w:ascii="Arial" w:hAnsi="Arial" w:cs="Arial"/>
                <w:spacing w:val="-1"/>
                <w:sz w:val="21"/>
                <w:szCs w:val="21"/>
              </w:rPr>
              <w:t>牛车水-小印度-鱼尾狮公园-甘傍格南-哈芝巷-新加坡植物园</w:t>
            </w:r>
          </w:p>
          <w:p w14:paraId="51695E83">
            <w:pPr>
              <w:pStyle w:val="10"/>
              <w:keepNext w:val="0"/>
              <w:keepLines w:val="0"/>
              <w:widowControl/>
              <w:suppressLineNumbers w:val="0"/>
              <w:spacing w:before="168" w:beforeAutospacing="0" w:after="0" w:afterAutospacing="0" w:line="175" w:lineRule="auto"/>
              <w:ind w:left="0" w:right="0" w:firstLine="0"/>
              <w:jc w:val="left"/>
              <w:rPr>
                <w:rFonts w:hint="default"/>
              </w:rPr>
            </w:pPr>
            <w:r>
              <w:rPr>
                <w:rFonts w:hint="default" w:ascii="Arial" w:hAnsi="Arial" w:cs="Arial"/>
                <w:spacing w:val="-1"/>
                <w:sz w:val="21"/>
                <w:szCs w:val="21"/>
              </w:rPr>
              <w:t>或</w:t>
            </w:r>
          </w:p>
          <w:p w14:paraId="0B937698">
            <w:pPr>
              <w:jc w:val="both"/>
            </w:pPr>
            <w:r>
              <w:rPr>
                <w:rFonts w:hint="default" w:ascii="Arial" w:hAnsi="Arial" w:cs="Arial"/>
                <w:spacing w:val="-1"/>
                <w:sz w:val="21"/>
                <w:szCs w:val="21"/>
              </w:rPr>
              <w:t>圣淘沙岛 环球影城一日游</w:t>
            </w:r>
            <w:r>
              <w:rPr>
                <w:rFonts w:hint="eastAsia" w:ascii="Arial" w:hAnsi="Arial" w:cs="Arial"/>
                <w:spacing w:val="-1"/>
                <w:sz w:val="21"/>
                <w:szCs w:val="21"/>
                <w:lang w:eastAsia="zh-CN"/>
              </w:rPr>
              <w:t>（</w:t>
            </w:r>
            <w:r>
              <w:rPr>
                <w:rFonts w:hint="eastAsia" w:ascii="Arial" w:hAnsi="Arial" w:cs="Arial"/>
                <w:spacing w:val="-1"/>
                <w:sz w:val="21"/>
                <w:szCs w:val="21"/>
                <w:lang w:val="en-US" w:eastAsia="zh-CN"/>
              </w:rPr>
              <w:t>环球影城门票自理</w:t>
            </w:r>
            <w:r>
              <w:rPr>
                <w:rFonts w:hint="eastAsia" w:ascii="Arial" w:hAnsi="Arial" w:cs="Arial"/>
                <w:spacing w:val="-1"/>
                <w:sz w:val="21"/>
                <w:szCs w:val="21"/>
                <w:lang w:eastAsia="zh-CN"/>
              </w:rPr>
              <w:t>）</w:t>
            </w:r>
          </w:p>
        </w:tc>
      </w:tr>
      <w:tr w14:paraId="64807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14:paraId="1B21ECE0">
            <w:pPr>
              <w:jc w:val="both"/>
              <w:rPr>
                <w:b/>
                <w:bCs/>
              </w:rPr>
            </w:pPr>
            <w:r>
              <w:rPr>
                <w:rFonts w:hint="eastAsia"/>
              </w:rPr>
              <w:t>Day 8</w:t>
            </w:r>
          </w:p>
        </w:tc>
        <w:tc>
          <w:tcPr>
            <w:tcW w:w="731" w:type="dxa"/>
          </w:tcPr>
          <w:p w14:paraId="6E8FAEAE">
            <w:pPr>
              <w:jc w:val="both"/>
            </w:pPr>
            <w:r>
              <w:rPr>
                <w:rFonts w:hint="eastAsia"/>
              </w:rPr>
              <w:t>全天</w:t>
            </w:r>
          </w:p>
        </w:tc>
        <w:tc>
          <w:tcPr>
            <w:tcW w:w="6855" w:type="dxa"/>
          </w:tcPr>
          <w:p w14:paraId="711B0C56">
            <w:pPr>
              <w:jc w:val="both"/>
            </w:pPr>
            <w:r>
              <w:rPr>
                <w:rFonts w:hint="eastAsia"/>
              </w:rPr>
              <w:t>项目结束，返回国内</w:t>
            </w:r>
          </w:p>
        </w:tc>
      </w:tr>
    </w:tbl>
    <w:p w14:paraId="446A3FC5"/>
    <w:p w14:paraId="17EF5652">
      <w:r>
        <w:t>【</w:t>
      </w:r>
      <w:r>
        <w:rPr>
          <w:rFonts w:hint="eastAsia"/>
        </w:rPr>
        <w:t>师资简介</w:t>
      </w:r>
      <w:r>
        <w:t>】</w:t>
      </w:r>
    </w:p>
    <w:p w14:paraId="18E32D4B">
      <w:pPr>
        <w:rPr>
          <w:rFonts w:hint="eastAsia" w:asciiTheme="minorHAnsi" w:hAnsiTheme="minorHAnsi" w:cstheme="minorHAnsi"/>
          <w:lang w:val="en-US" w:eastAsia="zh-CN"/>
        </w:rPr>
      </w:pPr>
      <w:r>
        <w:rPr>
          <w:rFonts w:hint="eastAsia" w:asciiTheme="minorHAnsi" w:hAnsiTheme="minorHAnsi" w:cstheme="minorHAnsi"/>
          <w:lang w:val="en-US" w:eastAsia="zh-CN"/>
        </w:rPr>
        <w:t>Prof. Christina Hofmann, 于 2013 年加入新加坡国立大学法学院（NUS Law），现任该学院副教授。 他同时担任银行与金融法中心副主任，以及亚洲法律研究中心大陆法研究集群协调员。加盟新国大前，Prof. Hofmann的职业履历丰富多元：曾任职于列支敦士登公国私立大学，担任教授；也曾担任德国中央银行高级法律顾问。此外，他还曾在法兰克福大学、科隆大学担任代理教授，在加州大学伯克利分校担任访问学者及洪堡学者，并在纽约大学法学院担任全球研究员。在新国大任职期间，Prof. Hofmann亦在多家学术机构兼任访问职位，包括牛津大学哈里斯・曼彻斯特学院商法中心高级研究员、伦敦跨国法律研究中心访问教授、苏黎世大学访问学者，以及巴塞尔大学巴塞尔论坛高级研究员。他还曾为欧洲议会与国际货币基金组织提供咨询服务。教育背景方面，Prof. Hofmann在德国完成法律专业学习，通过德国律师资格考试，取得博士学位，并于柏林洪堡大学获得教授资格（Habilitation）。此外，他还拥有纽约大学全球商法法学硕士学位及新加坡国立大学公司与金融服务法法学硕士学位。实务经验上，他曾在欧盟委员会担任实习生，并曾任职于多家律师事务所。Prof. Hofmann的研究方向主要聚焦于银行法、金融机构与市场监管、货币法及中央银行法领域。</w:t>
      </w:r>
    </w:p>
    <w:p w14:paraId="47D983CB">
      <w:pPr>
        <w:rPr>
          <w:rFonts w:hint="eastAsia" w:asciiTheme="minorHAnsi" w:hAnsiTheme="minorHAnsi" w:cstheme="minorHAnsi"/>
          <w:lang w:val="en-US" w:eastAsia="zh-CN"/>
        </w:rPr>
      </w:pPr>
    </w:p>
    <w:p w14:paraId="7824BD25">
      <w:pPr>
        <w:rPr>
          <w:rFonts w:hint="eastAsia" w:asciiTheme="minorHAnsi" w:hAnsiTheme="minorHAnsi" w:cstheme="minorHAnsi"/>
          <w:lang w:val="en-US" w:eastAsia="zh-CN"/>
        </w:rPr>
      </w:pPr>
      <w:r>
        <w:rPr>
          <w:rFonts w:hint="eastAsia" w:asciiTheme="minorHAnsi" w:hAnsiTheme="minorHAnsi" w:cstheme="minorHAnsi"/>
          <w:lang w:val="en-US" w:eastAsia="zh-CN"/>
        </w:rPr>
        <w:t>Dr. Lin Lin, 于 2012 年加入新加坡国立大学法学院，现任该学院副教授，专业方向为公司金融与公司法。在新国大法学院任教期间，她主讲多门课程，包括中国公司法与证券法、私募股权与风险投资：法律与实务，以及另类投资等。Dr. Lin的研究成果发表于领域内多家顶尖期刊。其独著专著《中国风险投资法》（剑桥大学出版社，2021 年）入选剑桥大学出版社极具声望的 “国际公司法与金融市场监管” 系列丛书。教学领域外，Dr. Lin曾在墨尔本大学、新加坡国立大学商学院等机构开设密集课程，并针对中国、印度、新加坡的政府官员及行业从业者，开展金融科技监管领域的高管培训。她的学术成就屡获认可，曾荣获新加坡国立大学校长研究生奖学金等多项荣誉。此外，她还曾在多所知名机构担任访问职位：2012-2013 年任职于斯坦福大学法学院及该校亚瑟与托尼・伦贝・罗克公司治理中心；2019 年访问牛津大学哈里斯・曼彻斯特学院；2020 年及 2024 年两度访问墨尔本大学。投身学术界前，Dr. Lin曾担任新加坡会计与企业管制局（ACRA）法律政策专员，亦曾在新加坡某顶尖律师事务所的公司金融部积累实务经验。</w:t>
      </w:r>
    </w:p>
    <w:p w14:paraId="56CEDE10">
      <w:pPr>
        <w:rPr>
          <w:rFonts w:hint="eastAsia" w:asciiTheme="minorHAnsi" w:hAnsiTheme="minorHAnsi" w:cstheme="minorHAnsi"/>
          <w:lang w:val="en-US" w:eastAsia="zh-CN"/>
        </w:rPr>
      </w:pPr>
    </w:p>
    <w:bookmarkEnd w:id="0"/>
    <w:p w14:paraId="2DD27599">
      <w:r>
        <w:t>【</w:t>
      </w:r>
      <w:r>
        <w:rPr>
          <w:rFonts w:hint="eastAsia"/>
        </w:rPr>
        <w:t>项目收获</w:t>
      </w:r>
      <w:r>
        <w:t>】</w:t>
      </w:r>
    </w:p>
    <w:p w14:paraId="58101B91">
      <w:pPr>
        <w:numPr>
          <w:ilvl w:val="0"/>
          <w:numId w:val="8"/>
        </w:numPr>
        <w:ind w:left="420" w:leftChars="0" w:hanging="420" w:firstLineChars="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报名成功的学员将收到新加坡国立大学</w:t>
      </w:r>
      <w:r>
        <w:rPr>
          <w:rFonts w:hint="eastAsia"/>
          <w:color w:val="000000" w:themeColor="text1"/>
          <w:lang w:val="en-US" w:eastAsia="zh-CN"/>
          <w14:textFill>
            <w14:solidFill>
              <w14:schemeClr w14:val="tx1"/>
            </w14:solidFill>
          </w14:textFill>
        </w:rPr>
        <w:t>SCALE</w:t>
      </w:r>
      <w:r>
        <w:rPr>
          <w:rFonts w:hint="eastAsia"/>
          <w:color w:val="000000" w:themeColor="text1"/>
          <w14:textFill>
            <w14:solidFill>
              <w14:schemeClr w14:val="tx1"/>
            </w14:solidFill>
          </w14:textFill>
        </w:rPr>
        <w:t>签发的官方</w:t>
      </w:r>
      <w:r>
        <w:rPr>
          <w:rFonts w:hint="eastAsia"/>
          <w:color w:val="000000" w:themeColor="text1"/>
          <w:lang w:val="en-US" w:eastAsia="zh-CN"/>
          <w14:textFill>
            <w14:solidFill>
              <w14:schemeClr w14:val="tx1"/>
            </w14:solidFill>
          </w14:textFill>
        </w:rPr>
        <w:t>项目录取通知</w:t>
      </w:r>
      <w:r>
        <w:rPr>
          <w:rFonts w:hint="eastAsia"/>
          <w:color w:val="000000" w:themeColor="text1"/>
          <w14:textFill>
            <w14:solidFill>
              <w14:schemeClr w14:val="tx1"/>
            </w14:solidFill>
          </w14:textFill>
        </w:rPr>
        <w:t xml:space="preserve">。 </w:t>
      </w:r>
    </w:p>
    <w:p w14:paraId="7E94014E">
      <w:pPr>
        <w:numPr>
          <w:ilvl w:val="0"/>
          <w:numId w:val="8"/>
        </w:numPr>
        <w:ind w:left="420" w:leftChars="0" w:hanging="420" w:firstLineChars="0"/>
        <w:rPr>
          <w:color w:val="000000" w:themeColor="text1"/>
          <w:kern w:val="0"/>
          <w:sz w:val="22"/>
          <w14:textFill>
            <w14:solidFill>
              <w14:schemeClr w14:val="tx1"/>
            </w14:solidFill>
          </w14:textFill>
        </w:rPr>
      </w:pPr>
      <w:r>
        <w:rPr>
          <w:rFonts w:hint="eastAsia"/>
          <w:color w:val="000000" w:themeColor="text1"/>
          <w14:textFill>
            <w14:solidFill>
              <w14:schemeClr w14:val="tx1"/>
            </w14:solidFill>
          </w14:textFill>
        </w:rPr>
        <w:t>顺利完成本课程并通过考核</w:t>
      </w:r>
      <w:r>
        <w:rPr>
          <w:rFonts w:hint="eastAsia"/>
          <w:color w:val="000000" w:themeColor="text1"/>
          <w:vertAlign w:val="superscript"/>
          <w:lang w:val="en-US" w:eastAsia="zh-CN"/>
          <w14:textFill>
            <w14:solidFill>
              <w14:schemeClr w14:val="tx1"/>
            </w14:solidFill>
          </w14:textFill>
        </w:rPr>
        <w:t>1</w:t>
      </w:r>
      <w:r>
        <w:rPr>
          <w:rFonts w:hint="eastAsia"/>
          <w:color w:val="000000" w:themeColor="text1"/>
          <w14:textFill>
            <w14:solidFill>
              <w14:schemeClr w14:val="tx1"/>
            </w14:solidFill>
          </w14:textFill>
        </w:rPr>
        <w:t>的学员，将获得由新加坡国立大学</w:t>
      </w:r>
      <w:r>
        <w:rPr>
          <w:rFonts w:hint="eastAsia"/>
          <w:color w:val="000000" w:themeColor="text1"/>
          <w:lang w:val="en-US" w:eastAsia="zh-CN"/>
          <w14:textFill>
            <w14:solidFill>
              <w14:schemeClr w14:val="tx1"/>
            </w14:solidFill>
          </w14:textFill>
        </w:rPr>
        <w:t>SCALE &amp; LAW</w:t>
      </w:r>
      <w:r>
        <w:rPr>
          <w:rFonts w:hint="eastAsia"/>
          <w:color w:val="000000" w:themeColor="text1"/>
          <w14:textFill>
            <w14:solidFill>
              <w14:schemeClr w14:val="tx1"/>
            </w14:solidFill>
          </w14:textFill>
        </w:rPr>
        <w:t>官方颁发的</w:t>
      </w:r>
      <w:r>
        <w:rPr>
          <w:rFonts w:hint="eastAsia"/>
          <w:color w:val="000000" w:themeColor="text1"/>
          <w:lang w:val="en-US" w:eastAsia="zh-CN"/>
          <w14:textFill>
            <w14:solidFill>
              <w14:schemeClr w14:val="tx1"/>
            </w14:solidFill>
          </w14:textFill>
        </w:rPr>
        <w:t>电子版</w:t>
      </w:r>
      <w:r>
        <w:rPr>
          <w:rFonts w:hint="eastAsia"/>
          <w:color w:val="000000" w:themeColor="text1"/>
          <w14:textFill>
            <w14:solidFill>
              <w14:schemeClr w14:val="tx1"/>
            </w14:solidFill>
          </w14:textFill>
        </w:rPr>
        <w:t>结业证书</w:t>
      </w:r>
      <w:r>
        <w:rPr>
          <w:rFonts w:hint="eastAsia"/>
          <w:color w:val="000000" w:themeColor="text1"/>
          <w:vertAlign w:val="superscript"/>
          <w:lang w:val="en-US" w:eastAsia="zh-CN"/>
          <w14:textFill>
            <w14:solidFill>
              <w14:schemeClr w14:val="tx1"/>
            </w14:solidFill>
          </w14:textFill>
        </w:rPr>
        <w:t>2</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成绩测评报告</w:t>
      </w:r>
      <w:r>
        <w:rPr>
          <w:rFonts w:hint="eastAsia"/>
          <w:color w:val="000000" w:themeColor="text1"/>
          <w14:textFill>
            <w14:solidFill>
              <w14:schemeClr w14:val="tx1"/>
            </w14:solidFill>
          </w14:textFill>
        </w:rPr>
        <w:t>，优胜小组成员还将额外获得优秀学员证明。</w:t>
      </w:r>
      <w:r>
        <w:rPr>
          <w:rFonts w:hint="eastAsia"/>
          <w:color w:val="000000" w:themeColor="text1"/>
          <w:kern w:val="0"/>
          <w:sz w:val="22"/>
          <w14:textFill>
            <w14:solidFill>
              <w14:schemeClr w14:val="tx1"/>
            </w14:solidFill>
          </w14:textFill>
        </w:rPr>
        <w:t xml:space="preserve"> </w:t>
      </w:r>
    </w:p>
    <w:p w14:paraId="69AFCFC0">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注1：只有满足以下三项要求时，才会向参与者颁发结业证书: </w:t>
      </w:r>
    </w:p>
    <w:p w14:paraId="2889F555">
      <w:pPr>
        <w:numPr>
          <w:ilvl w:val="0"/>
          <w:numId w:val="9"/>
        </w:num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满足最低 85%的整体出勤率 </w:t>
      </w:r>
    </w:p>
    <w:p w14:paraId="3E7C3030">
      <w:pPr>
        <w:numPr>
          <w:ilvl w:val="0"/>
          <w:numId w:val="9"/>
        </w:num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在给定的截止日期内完成并通过评估 </w:t>
      </w:r>
    </w:p>
    <w:p w14:paraId="06527102">
      <w:pPr>
        <w:numPr>
          <w:ilvl w:val="0"/>
          <w:numId w:val="9"/>
        </w:numPr>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在项目结束时完成项目后评估 </w:t>
      </w:r>
    </w:p>
    <w:p w14:paraId="029B03D1">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注2：新加坡国立大学SCALE &amp; LAW保留对证书决定的最终权利，新加坡高校访学项目是没有学分的。</w:t>
      </w:r>
    </w:p>
    <w:p w14:paraId="5A509F1F">
      <w:pPr>
        <w:rPr>
          <w:rFonts w:hint="eastAsia"/>
          <w:color w:val="000000" w:themeColor="text1"/>
          <w:lang w:val="en-US" w:eastAsia="zh-CN"/>
          <w14:textFill>
            <w14:solidFill>
              <w14:schemeClr w14:val="tx1"/>
            </w14:solidFill>
          </w14:textFill>
        </w:rPr>
      </w:pPr>
    </w:p>
    <w:p w14:paraId="2642BDE9">
      <w:pPr>
        <w:rPr>
          <w:rFonts w:cs="Calibri"/>
        </w:rPr>
      </w:pPr>
      <w:r>
        <w:rPr>
          <w:rFonts w:cs="Calibri"/>
        </w:rPr>
        <w:t>【</w:t>
      </w:r>
      <w:r>
        <w:rPr>
          <w:rFonts w:hint="eastAsia"/>
        </w:rPr>
        <w:t>项目</w:t>
      </w:r>
      <w:r>
        <w:t>费用</w:t>
      </w:r>
      <w:r>
        <w:rPr>
          <w:rFonts w:cs="Calibri"/>
        </w:rPr>
        <w:t>】</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4"/>
        <w:gridCol w:w="7048"/>
      </w:tblGrid>
      <w:tr w14:paraId="4DEF3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474" w:type="dxa"/>
          </w:tcPr>
          <w:p w14:paraId="6ADCB48C">
            <w:pPr>
              <w:jc w:val="both"/>
            </w:pPr>
            <w:bookmarkStart w:id="1" w:name="_Hlk129190493"/>
            <w:r>
              <w:rPr>
                <w:rFonts w:hint="eastAsia"/>
              </w:rPr>
              <w:t>项目总费用</w:t>
            </w:r>
          </w:p>
        </w:tc>
        <w:tc>
          <w:tcPr>
            <w:tcW w:w="7048" w:type="dxa"/>
          </w:tcPr>
          <w:p w14:paraId="1766AF83">
            <w:pPr>
              <w:jc w:val="both"/>
            </w:pPr>
            <w:r>
              <w:rPr>
                <w:rFonts w:hint="eastAsia"/>
              </w:rPr>
              <w:t>约人民币1.68万元</w:t>
            </w:r>
          </w:p>
        </w:tc>
      </w:tr>
      <w:tr w14:paraId="2B8C1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4" w:type="dxa"/>
          </w:tcPr>
          <w:p w14:paraId="28CCD8A7">
            <w:pPr>
              <w:jc w:val="both"/>
            </w:pPr>
            <w:r>
              <w:rPr>
                <w:rFonts w:hint="eastAsia"/>
              </w:rPr>
              <w:t>费用包括：</w:t>
            </w:r>
          </w:p>
        </w:tc>
        <w:tc>
          <w:tcPr>
            <w:tcW w:w="7048" w:type="dxa"/>
          </w:tcPr>
          <w:p w14:paraId="311E0C82">
            <w:pPr>
              <w:jc w:val="both"/>
            </w:pPr>
            <w:r>
              <w:t>学费、杂费、酒店住宿、接机、大巴上学送生、参访费、医疗与意外险、项目服务费</w:t>
            </w:r>
          </w:p>
        </w:tc>
      </w:tr>
      <w:tr w14:paraId="7260D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4" w:type="dxa"/>
          </w:tcPr>
          <w:p w14:paraId="01E9ABA6">
            <w:pPr>
              <w:jc w:val="both"/>
            </w:pPr>
            <w:r>
              <w:rPr>
                <w:rFonts w:hint="eastAsia"/>
              </w:rPr>
              <w:t>费用不包括：</w:t>
            </w:r>
          </w:p>
        </w:tc>
        <w:tc>
          <w:tcPr>
            <w:tcW w:w="7048" w:type="dxa"/>
          </w:tcPr>
          <w:p w14:paraId="6C735C55">
            <w:pPr>
              <w:jc w:val="both"/>
              <w:rPr>
                <w:rFonts w:hint="default" w:eastAsia="宋体"/>
                <w:lang w:val="en-US" w:eastAsia="zh-CN"/>
              </w:rPr>
            </w:pPr>
            <w:r>
              <w:t>国际机票、</w:t>
            </w:r>
            <w:r>
              <w:rPr>
                <w:rFonts w:hint="eastAsia"/>
              </w:rPr>
              <w:t>三餐</w:t>
            </w:r>
            <w:r>
              <w:t>餐费、大巴放学接生，送机、个人生活费</w:t>
            </w:r>
            <w:r>
              <w:rPr>
                <w:rFonts w:hint="eastAsia"/>
                <w:lang w:eastAsia="zh-CN"/>
              </w:rPr>
              <w:t>、</w:t>
            </w:r>
            <w:r>
              <w:rPr>
                <w:rFonts w:hint="eastAsia"/>
                <w:lang w:val="en-US" w:eastAsia="zh-CN"/>
              </w:rPr>
              <w:t>环球影城门票</w:t>
            </w:r>
          </w:p>
        </w:tc>
      </w:tr>
      <w:bookmarkEnd w:id="1"/>
    </w:tbl>
    <w:p w14:paraId="2CD07BA6"/>
    <w:p w14:paraId="70EC123D">
      <w:pPr>
        <w:rPr>
          <w:b/>
          <w:bCs/>
        </w:rPr>
      </w:pPr>
      <w:r>
        <w:rPr>
          <w:rFonts w:hint="eastAsia"/>
          <w:b/>
          <w:bCs/>
        </w:rPr>
        <w:t>五、项目申请</w:t>
      </w:r>
    </w:p>
    <w:p w14:paraId="17153750">
      <w:pPr>
        <w:pStyle w:val="22"/>
        <w:numPr>
          <w:ilvl w:val="0"/>
          <w:numId w:val="10"/>
        </w:numPr>
        <w:ind w:leftChars="0"/>
        <w:rPr>
          <w:rFonts w:cs="Calibri"/>
        </w:rPr>
      </w:pPr>
      <w:r>
        <w:rPr>
          <w:b/>
        </w:rPr>
        <w:t>选拔要</w:t>
      </w:r>
      <w:r>
        <w:rPr>
          <w:b/>
          <w:color w:val="000000" w:themeColor="text1"/>
          <w14:textFill>
            <w14:solidFill>
              <w14:schemeClr w14:val="tx1"/>
            </w14:solidFill>
          </w14:textFill>
        </w:rPr>
        <w:t>求</w:t>
      </w:r>
      <w:r>
        <w:rPr>
          <w:rFonts w:hint="eastAsia"/>
          <w:b/>
          <w:color w:val="000000" w:themeColor="text1"/>
          <w:lang w:eastAsia="zh-CN"/>
          <w14:textFill>
            <w14:solidFill>
              <w14:schemeClr w14:val="tx1"/>
            </w14:solidFill>
          </w14:textFill>
        </w:rPr>
        <w:t>（</w:t>
      </w:r>
      <w:r>
        <w:rPr>
          <w:rFonts w:hint="eastAsia"/>
          <w:b/>
          <w:color w:val="000000" w:themeColor="text1"/>
          <w14:textFill>
            <w14:solidFill>
              <w14:schemeClr w14:val="tx1"/>
            </w14:solidFill>
          </w14:textFill>
        </w:rPr>
        <w:t>新加坡国立大学</w:t>
      </w:r>
      <w:r>
        <w:rPr>
          <w:rFonts w:hint="eastAsia"/>
          <w:b/>
          <w:color w:val="000000" w:themeColor="text1"/>
          <w:lang w:val="en-US" w:eastAsia="zh-CN"/>
          <w14:textFill>
            <w14:solidFill>
              <w14:schemeClr w14:val="tx1"/>
            </w14:solidFill>
          </w14:textFill>
        </w:rPr>
        <w:t>SCALE &amp; LAW审核</w:t>
      </w:r>
      <w:r>
        <w:rPr>
          <w:rFonts w:hint="eastAsia"/>
          <w:b/>
          <w:color w:val="000000" w:themeColor="text1"/>
          <w:lang w:eastAsia="zh-CN"/>
          <w14:textFill>
            <w14:solidFill>
              <w14:schemeClr w14:val="tx1"/>
            </w14:solidFill>
          </w14:textFill>
        </w:rPr>
        <w:t>）：</w:t>
      </w:r>
      <w:r>
        <w:rPr>
          <w:rFonts w:hint="eastAsia"/>
          <w:b w:val="0"/>
          <w:bCs/>
          <w:lang w:val="en-US" w:eastAsia="zh-CN"/>
        </w:rPr>
        <w:t>15岁以上</w:t>
      </w:r>
      <w:r>
        <w:rPr>
          <w:rFonts w:hint="eastAsia"/>
          <w:b w:val="0"/>
          <w:bCs/>
        </w:rPr>
        <w:t>在读本科生</w:t>
      </w:r>
      <w:r>
        <w:rPr>
          <w:rFonts w:hint="eastAsia"/>
          <w:b w:val="0"/>
          <w:bCs/>
          <w:lang w:eastAsia="zh-CN"/>
        </w:rPr>
        <w:t>，</w:t>
      </w:r>
      <w:r>
        <w:rPr>
          <w:rFonts w:hint="eastAsia"/>
          <w:b w:val="0"/>
          <w:bCs/>
          <w:lang w:val="en-US" w:eastAsia="zh-CN"/>
        </w:rPr>
        <w:t>硕士生</w:t>
      </w:r>
      <w:r>
        <w:rPr>
          <w:rFonts w:hint="eastAsia" w:ascii="Times New Roman" w:hAnsi="Times New Roman" w:eastAsia="宋体" w:cs="Times New Roman"/>
          <w:b w:val="0"/>
          <w:bCs/>
          <w:highlight w:val="none"/>
          <w:lang w:val="en-US" w:eastAsia="zh-CN"/>
        </w:rPr>
        <w:t>（需向国大提交特殊申请，最终结果以国大审核为准；MBA/EMBA/MPA 学生暂不接受申请）</w:t>
      </w:r>
      <w:r>
        <w:rPr>
          <w:rFonts w:hint="eastAsia"/>
          <w:b w:val="0"/>
          <w:bCs/>
        </w:rPr>
        <w:t>；</w:t>
      </w:r>
    </w:p>
    <w:p w14:paraId="25400117">
      <w:pPr>
        <w:pStyle w:val="22"/>
        <w:numPr>
          <w:ilvl w:val="0"/>
          <w:numId w:val="10"/>
        </w:numPr>
        <w:ind w:leftChars="0"/>
        <w:rPr>
          <w:rFonts w:cs="Calibri"/>
        </w:rPr>
      </w:pPr>
      <w:r>
        <w:rPr>
          <w:rFonts w:hint="eastAsia"/>
          <w:b/>
          <w:lang w:val="en-US" w:eastAsia="zh-CN"/>
        </w:rPr>
        <w:t>语言成绩（全美国际审核）：</w:t>
      </w:r>
      <w:r>
        <w:rPr>
          <w:rFonts w:hint="eastAsia"/>
        </w:rPr>
        <w:t>托福</w:t>
      </w:r>
      <w:r>
        <w:rPr>
          <w:rFonts w:hint="eastAsia"/>
          <w:lang w:val="en-US" w:eastAsia="zh-CN"/>
        </w:rPr>
        <w:t>70/</w:t>
      </w:r>
      <w:r>
        <w:rPr>
          <w:rFonts w:hint="eastAsia"/>
        </w:rPr>
        <w:t>雅思</w:t>
      </w:r>
      <w:r>
        <w:rPr>
          <w:rFonts w:hint="eastAsia"/>
          <w:lang w:val="en-US" w:eastAsia="zh-CN"/>
        </w:rPr>
        <w:t>5.5（如有）</w:t>
      </w:r>
      <w:r>
        <w:rPr>
          <w:rFonts w:hint="eastAsia"/>
        </w:rPr>
        <w:t>，</w:t>
      </w:r>
      <w:r>
        <w:t>四级470/六级450/专四65/多邻国90/高考110</w:t>
      </w:r>
      <w:r>
        <w:rPr>
          <w:rFonts w:hint="eastAsia"/>
        </w:rPr>
        <w:t>（限大一）即可申请；</w:t>
      </w:r>
    </w:p>
    <w:p w14:paraId="07C059E1">
      <w:pPr>
        <w:pStyle w:val="22"/>
        <w:numPr>
          <w:ilvl w:val="0"/>
          <w:numId w:val="10"/>
        </w:numPr>
        <w:ind w:leftChars="0"/>
        <w:rPr>
          <w:rFonts w:cs="宋体"/>
          <w:b/>
          <w:kern w:val="0"/>
          <w:sz w:val="20"/>
        </w:rPr>
      </w:pPr>
      <w:r>
        <w:rPr>
          <w:rFonts w:hint="eastAsia"/>
          <w:b/>
          <w:kern w:val="0"/>
        </w:rPr>
        <w:t>报名</w:t>
      </w:r>
      <w:r>
        <w:rPr>
          <w:b/>
          <w:kern w:val="0"/>
        </w:rPr>
        <w:t>方式</w:t>
      </w:r>
      <w:r>
        <w:rPr>
          <w:rFonts w:hint="eastAsia"/>
          <w:b/>
          <w:kern w:val="0"/>
        </w:rPr>
        <w:t xml:space="preserve">： </w:t>
      </w:r>
      <w:r>
        <w:rPr>
          <w:rFonts w:hint="eastAsia"/>
          <w:bCs/>
          <w:kern w:val="0"/>
        </w:rPr>
        <w:t>登录</w:t>
      </w:r>
      <w:r>
        <w:t>全美国际教育协会网站</w:t>
      </w:r>
      <w:r>
        <w:fldChar w:fldCharType="begin"/>
      </w:r>
      <w:r>
        <w:instrText xml:space="preserve"> HYPERLINK "http://www.usiea.org" </w:instrText>
      </w:r>
      <w:r>
        <w:fldChar w:fldCharType="separate"/>
      </w:r>
      <w:r>
        <w:rPr>
          <w:rStyle w:val="17"/>
          <w:rFonts w:hint="eastAsia" w:asciiTheme="minorHAnsi" w:hAnsiTheme="minorHAnsi" w:eastAsiaTheme="majorEastAsia" w:cstheme="minorHAnsi"/>
          <w:szCs w:val="21"/>
        </w:rPr>
        <w:t>www.usiea.org</w:t>
      </w:r>
      <w:r>
        <w:rPr>
          <w:rStyle w:val="17"/>
          <w:rFonts w:hint="eastAsia" w:asciiTheme="minorHAnsi" w:hAnsiTheme="minorHAnsi" w:eastAsiaTheme="majorEastAsia" w:cstheme="minorHAnsi"/>
          <w:szCs w:val="21"/>
        </w:rPr>
        <w:fldChar w:fldCharType="end"/>
      </w:r>
      <w:r>
        <w:rPr>
          <w:rFonts w:hint="eastAsia"/>
        </w:rPr>
        <w:t xml:space="preserve"> </w:t>
      </w:r>
      <w:r>
        <w:t>填写《</w:t>
      </w:r>
      <w:r>
        <w:rPr>
          <w:rFonts w:hint="eastAsia"/>
        </w:rPr>
        <w:t>世界</w:t>
      </w:r>
      <w:r>
        <w:t>名校访学项目报名表》；</w:t>
      </w:r>
    </w:p>
    <w:p w14:paraId="01A692DE">
      <w:r>
        <w:rPr>
          <w:rFonts w:hint="eastAsia"/>
        </w:rPr>
        <w:t xml:space="preserve">                                                                                         </w:t>
      </w:r>
    </w:p>
    <w:p w14:paraId="0C89026E">
      <w:r>
        <w:rPr>
          <w:rFonts w:hint="eastAsia"/>
        </w:rPr>
        <w:t>全美国际教育协会官网：www.usiea.org </w:t>
      </w:r>
    </w:p>
    <w:p w14:paraId="59DE0764">
      <w:pPr>
        <w:rPr>
          <w:rFonts w:ascii="Calibri" w:hAnsi="Calibri" w:cs="Calibri"/>
          <w:sz w:val="22"/>
          <w:szCs w:val="22"/>
        </w:rPr>
      </w:pPr>
      <w:r>
        <w:rPr>
          <w:rFonts w:hint="eastAsia" w:asciiTheme="minorHAnsi" w:hAnsiTheme="minorHAnsi" w:eastAsiaTheme="majorEastAsia" w:cstheme="minorHAnsi"/>
          <w:szCs w:val="21"/>
        </w:rPr>
        <w:t>项目邮箱咨询：</w:t>
      </w:r>
      <w:r>
        <w:fldChar w:fldCharType="begin"/>
      </w:r>
      <w:r>
        <w:instrText xml:space="preserve"> HYPERLINK "mailto:visit_usyd@yeah.net" </w:instrText>
      </w:r>
      <w:r>
        <w:fldChar w:fldCharType="separate"/>
      </w:r>
      <w:r>
        <w:rPr>
          <w:rFonts w:hint="eastAsia" w:asciiTheme="minorHAnsi" w:hAnsiTheme="minorHAnsi" w:eastAsiaTheme="majorEastAsia" w:cstheme="minorHAnsi"/>
          <w:color w:val="4F81BD" w:themeColor="accent1"/>
          <w:szCs w:val="21"/>
          <w14:textFill>
            <w14:solidFill>
              <w14:schemeClr w14:val="accent1"/>
            </w14:solidFill>
          </w14:textFill>
        </w:rPr>
        <w:t>visit_nus@yeah.net</w:t>
      </w:r>
      <w:r>
        <w:rPr>
          <w:rFonts w:hint="eastAsia" w:asciiTheme="minorHAnsi" w:hAnsiTheme="minorHAnsi" w:eastAsiaTheme="majorEastAsia" w:cstheme="minorHAnsi"/>
          <w:color w:val="4F81BD" w:themeColor="accent1"/>
          <w:szCs w:val="21"/>
          <w14:textFill>
            <w14:solidFill>
              <w14:schemeClr w14:val="accent1"/>
            </w14:solidFill>
          </w14:textFill>
        </w:rPr>
        <w:fldChar w:fldCharType="end"/>
      </w:r>
      <w:r>
        <w:rPr>
          <w:rFonts w:hint="eastAsia" w:asciiTheme="minorHAnsi" w:hAnsiTheme="minorHAnsi" w:eastAsiaTheme="majorEastAsia" w:cstheme="minorHAnsi"/>
          <w:color w:val="4F81BD" w:themeColor="accent1"/>
          <w:szCs w:val="21"/>
          <w14:textFill>
            <w14:solidFill>
              <w14:schemeClr w14:val="accent1"/>
            </w14:solidFill>
          </w14:textFill>
        </w:rPr>
        <w:t xml:space="preserve"> </w:t>
      </w:r>
    </w:p>
    <w:p w14:paraId="1AE5EA11">
      <w:pPr>
        <w:rPr>
          <w:rFonts w:ascii="Calibri" w:hAnsi="Calibri" w:cs="Calibri"/>
          <w:sz w:val="22"/>
          <w:szCs w:val="22"/>
        </w:rPr>
      </w:pPr>
    </w:p>
    <w:sectPr>
      <w:headerReference r:id="rId5" w:type="default"/>
      <w:footerReference r:id="rId6" w:type="default"/>
      <w:pgSz w:w="11906" w:h="16838"/>
      <w:pgMar w:top="2025" w:right="1800" w:bottom="1440" w:left="1800" w:header="737"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C5312">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6BA904E">
                          <w:pPr>
                            <w:pStyle w:val="8"/>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16BA904E">
                    <w:pPr>
                      <w:pStyle w:val="8"/>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AFB5D">
    <w:pPr>
      <w:rPr>
        <w:rFonts w:hint="eastAsia" w:ascii="微软雅黑" w:hAnsi="微软雅黑" w:eastAsia="微软雅黑"/>
        <w:sz w:val="30"/>
        <w:szCs w:val="30"/>
        <w:lang w:val="en-CA"/>
      </w:rPr>
    </w:pPr>
    <w:r>
      <w:rPr>
        <w:rFonts w:hint="eastAsia"/>
      </w:rPr>
      <w:drawing>
        <wp:anchor distT="0" distB="0" distL="0" distR="0" simplePos="0" relativeHeight="251659264" behindDoc="0" locked="0" layoutInCell="1" allowOverlap="1">
          <wp:simplePos x="0" y="0"/>
          <wp:positionH relativeFrom="column">
            <wp:posOffset>4344670</wp:posOffset>
          </wp:positionH>
          <wp:positionV relativeFrom="paragraph">
            <wp:posOffset>93980</wp:posOffset>
          </wp:positionV>
          <wp:extent cx="857250" cy="299720"/>
          <wp:effectExtent l="0" t="0" r="6350" b="508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2585" cy="301511"/>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6630D"/>
    <w:multiLevelType w:val="singleLevel"/>
    <w:tmpl w:val="84D6630D"/>
    <w:lvl w:ilvl="0" w:tentative="0">
      <w:start w:val="1"/>
      <w:numFmt w:val="decimal"/>
      <w:suff w:val="space"/>
      <w:lvlText w:val="%1."/>
      <w:lvlJc w:val="left"/>
    </w:lvl>
  </w:abstractNum>
  <w:abstractNum w:abstractNumId="1">
    <w:nsid w:val="9BBB3D74"/>
    <w:multiLevelType w:val="singleLevel"/>
    <w:tmpl w:val="9BBB3D74"/>
    <w:lvl w:ilvl="0" w:tentative="0">
      <w:start w:val="2"/>
      <w:numFmt w:val="chineseCounting"/>
      <w:suff w:val="nothing"/>
      <w:lvlText w:val="%1、"/>
      <w:lvlJc w:val="left"/>
      <w:rPr>
        <w:rFonts w:hint="eastAsia"/>
      </w:rPr>
    </w:lvl>
  </w:abstractNum>
  <w:abstractNum w:abstractNumId="2">
    <w:nsid w:val="CFD13EF8"/>
    <w:multiLevelType w:val="singleLevel"/>
    <w:tmpl w:val="CFD13EF8"/>
    <w:lvl w:ilvl="0" w:tentative="0">
      <w:start w:val="1"/>
      <w:numFmt w:val="bullet"/>
      <w:lvlText w:val=""/>
      <w:lvlJc w:val="left"/>
      <w:pPr>
        <w:tabs>
          <w:tab w:val="left" w:pos="420"/>
        </w:tabs>
        <w:ind w:left="840" w:hanging="420"/>
      </w:pPr>
      <w:rPr>
        <w:rFonts w:hint="default" w:ascii="Wingdings" w:hAnsi="Wingdings"/>
      </w:rPr>
    </w:lvl>
  </w:abstractNum>
  <w:abstractNum w:abstractNumId="3">
    <w:nsid w:val="D01483F2"/>
    <w:multiLevelType w:val="singleLevel"/>
    <w:tmpl w:val="D01483F2"/>
    <w:lvl w:ilvl="0" w:tentative="0">
      <w:start w:val="1"/>
      <w:numFmt w:val="bullet"/>
      <w:lvlText w:val=""/>
      <w:lvlJc w:val="left"/>
      <w:pPr>
        <w:ind w:left="420" w:hanging="420"/>
      </w:pPr>
      <w:rPr>
        <w:rFonts w:hint="default" w:ascii="Wingdings" w:hAnsi="Wingdings"/>
      </w:rPr>
    </w:lvl>
  </w:abstractNum>
  <w:abstractNum w:abstractNumId="4">
    <w:nsid w:val="E181045E"/>
    <w:multiLevelType w:val="singleLevel"/>
    <w:tmpl w:val="E181045E"/>
    <w:lvl w:ilvl="0" w:tentative="0">
      <w:start w:val="1"/>
      <w:numFmt w:val="bullet"/>
      <w:lvlText w:val=""/>
      <w:lvlJc w:val="left"/>
      <w:pPr>
        <w:ind w:left="420" w:hanging="420"/>
      </w:pPr>
      <w:rPr>
        <w:rFonts w:hint="default" w:ascii="Wingdings" w:hAnsi="Wingdings"/>
      </w:rPr>
    </w:lvl>
  </w:abstractNum>
  <w:abstractNum w:abstractNumId="5">
    <w:nsid w:val="151C6AC6"/>
    <w:multiLevelType w:val="singleLevel"/>
    <w:tmpl w:val="151C6AC6"/>
    <w:lvl w:ilvl="0" w:tentative="0">
      <w:start w:val="1"/>
      <w:numFmt w:val="bullet"/>
      <w:lvlText w:val=""/>
      <w:lvlJc w:val="left"/>
      <w:pPr>
        <w:tabs>
          <w:tab w:val="left" w:pos="840"/>
        </w:tabs>
        <w:ind w:left="1260" w:hanging="420"/>
      </w:pPr>
      <w:rPr>
        <w:rFonts w:hint="default" w:ascii="Wingdings" w:hAnsi="Wingdings"/>
      </w:rPr>
    </w:lvl>
  </w:abstractNum>
  <w:abstractNum w:abstractNumId="6">
    <w:nsid w:val="46834264"/>
    <w:multiLevelType w:val="multilevel"/>
    <w:tmpl w:val="468342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cs="Wingdings"/>
      </w:rPr>
    </w:lvl>
    <w:lvl w:ilvl="2" w:tentative="0">
      <w:start w:val="1"/>
      <w:numFmt w:val="bullet"/>
      <w:lvlText w:val=""/>
      <w:lvlJc w:val="left"/>
      <w:pPr>
        <w:ind w:left="1680" w:hanging="420"/>
      </w:pPr>
      <w:rPr>
        <w:rFonts w:hint="default" w:ascii="Wingdings" w:hAnsi="Wingdings" w:cs="Wingdings"/>
      </w:rPr>
    </w:lvl>
    <w:lvl w:ilvl="3" w:tentative="0">
      <w:start w:val="1"/>
      <w:numFmt w:val="bullet"/>
      <w:lvlText w:val=""/>
      <w:lvlJc w:val="left"/>
      <w:pPr>
        <w:ind w:left="2100" w:hanging="420"/>
      </w:pPr>
      <w:rPr>
        <w:rFonts w:hint="default" w:ascii="Wingdings" w:hAnsi="Wingdings" w:cs="Wingdings"/>
      </w:rPr>
    </w:lvl>
    <w:lvl w:ilvl="4" w:tentative="0">
      <w:start w:val="1"/>
      <w:numFmt w:val="bullet"/>
      <w:lvlText w:val=""/>
      <w:lvlJc w:val="left"/>
      <w:pPr>
        <w:ind w:left="2520" w:hanging="420"/>
      </w:pPr>
      <w:rPr>
        <w:rFonts w:hint="default" w:ascii="Wingdings" w:hAnsi="Wingdings" w:cs="Wingdings"/>
      </w:rPr>
    </w:lvl>
    <w:lvl w:ilvl="5" w:tentative="0">
      <w:start w:val="1"/>
      <w:numFmt w:val="bullet"/>
      <w:lvlText w:val=""/>
      <w:lvlJc w:val="left"/>
      <w:pPr>
        <w:ind w:left="2940" w:hanging="420"/>
      </w:pPr>
      <w:rPr>
        <w:rFonts w:hint="default" w:ascii="Wingdings" w:hAnsi="Wingdings" w:cs="Wingdings"/>
      </w:rPr>
    </w:lvl>
    <w:lvl w:ilvl="6" w:tentative="0">
      <w:start w:val="1"/>
      <w:numFmt w:val="bullet"/>
      <w:lvlText w:val=""/>
      <w:lvlJc w:val="left"/>
      <w:pPr>
        <w:ind w:left="3360" w:hanging="420"/>
      </w:pPr>
      <w:rPr>
        <w:rFonts w:hint="default" w:ascii="Wingdings" w:hAnsi="Wingdings" w:cs="Wingdings"/>
      </w:rPr>
    </w:lvl>
    <w:lvl w:ilvl="7" w:tentative="0">
      <w:start w:val="1"/>
      <w:numFmt w:val="bullet"/>
      <w:lvlText w:val=""/>
      <w:lvlJc w:val="left"/>
      <w:pPr>
        <w:ind w:left="3780" w:hanging="420"/>
      </w:pPr>
      <w:rPr>
        <w:rFonts w:hint="default" w:ascii="Wingdings" w:hAnsi="Wingdings" w:cs="Wingdings"/>
      </w:rPr>
    </w:lvl>
    <w:lvl w:ilvl="8" w:tentative="0">
      <w:start w:val="1"/>
      <w:numFmt w:val="bullet"/>
      <w:lvlText w:val=""/>
      <w:lvlJc w:val="left"/>
      <w:pPr>
        <w:ind w:left="4200" w:hanging="420"/>
      </w:pPr>
      <w:rPr>
        <w:rFonts w:hint="default" w:ascii="Wingdings" w:hAnsi="Wingdings" w:cs="Wingdings"/>
      </w:rPr>
    </w:lvl>
  </w:abstractNum>
  <w:abstractNum w:abstractNumId="7">
    <w:nsid w:val="4EAB72CE"/>
    <w:multiLevelType w:val="singleLevel"/>
    <w:tmpl w:val="4EAB72CE"/>
    <w:lvl w:ilvl="0" w:tentative="0">
      <w:start w:val="4"/>
      <w:numFmt w:val="chineseCounting"/>
      <w:pStyle w:val="22"/>
      <w:suff w:val="nothing"/>
      <w:lvlText w:val="%1、"/>
      <w:lvlJc w:val="left"/>
      <w:rPr>
        <w:rFonts w:hint="eastAsia"/>
      </w:rPr>
    </w:lvl>
  </w:abstractNum>
  <w:abstractNum w:abstractNumId="8">
    <w:nsid w:val="748F5499"/>
    <w:multiLevelType w:val="multilevel"/>
    <w:tmpl w:val="748F5499"/>
    <w:lvl w:ilvl="0" w:tentative="0">
      <w:start w:val="4"/>
      <w:numFmt w:val="japaneseCounting"/>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9">
    <w:nsid w:val="77F013D8"/>
    <w:multiLevelType w:val="multilevel"/>
    <w:tmpl w:val="77F013D8"/>
    <w:lvl w:ilvl="0" w:tentative="0">
      <w:start w:val="1"/>
      <w:numFmt w:val="decimal"/>
      <w:lvlText w:val="%1、"/>
      <w:lvlJc w:val="left"/>
      <w:pPr>
        <w:ind w:left="360" w:hanging="36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5"/>
  </w:num>
  <w:num w:numId="3">
    <w:abstractNumId w:val="1"/>
  </w:num>
  <w:num w:numId="4">
    <w:abstractNumId w:val="2"/>
  </w:num>
  <w:num w:numId="5">
    <w:abstractNumId w:val="6"/>
  </w:num>
  <w:num w:numId="6">
    <w:abstractNumId w:val="8"/>
  </w:num>
  <w:num w:numId="7">
    <w:abstractNumId w:val="3"/>
  </w:num>
  <w:num w:numId="8">
    <w:abstractNumId w:val="4"/>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RiN2EzOTIwNTFkMWRjYjlhM2M2MjEwMTAzOTAyMTAifQ=="/>
  </w:docVars>
  <w:rsids>
    <w:rsidRoot w:val="00500A8F"/>
    <w:rsid w:val="00002650"/>
    <w:rsid w:val="00002E62"/>
    <w:rsid w:val="000035D7"/>
    <w:rsid w:val="000056C7"/>
    <w:rsid w:val="0000590A"/>
    <w:rsid w:val="00006712"/>
    <w:rsid w:val="00010148"/>
    <w:rsid w:val="00010F31"/>
    <w:rsid w:val="000169DD"/>
    <w:rsid w:val="00020633"/>
    <w:rsid w:val="000226BC"/>
    <w:rsid w:val="00022AFD"/>
    <w:rsid w:val="000230BD"/>
    <w:rsid w:val="00023476"/>
    <w:rsid w:val="000236D2"/>
    <w:rsid w:val="00024C64"/>
    <w:rsid w:val="00025206"/>
    <w:rsid w:val="000255BF"/>
    <w:rsid w:val="0003068E"/>
    <w:rsid w:val="00030A02"/>
    <w:rsid w:val="00031403"/>
    <w:rsid w:val="00032519"/>
    <w:rsid w:val="0003257B"/>
    <w:rsid w:val="000362BD"/>
    <w:rsid w:val="00040016"/>
    <w:rsid w:val="000402B0"/>
    <w:rsid w:val="00041148"/>
    <w:rsid w:val="00041BDA"/>
    <w:rsid w:val="00044B87"/>
    <w:rsid w:val="00046229"/>
    <w:rsid w:val="000519A2"/>
    <w:rsid w:val="00051A3D"/>
    <w:rsid w:val="00052172"/>
    <w:rsid w:val="0005389A"/>
    <w:rsid w:val="00060047"/>
    <w:rsid w:val="0006181E"/>
    <w:rsid w:val="00065242"/>
    <w:rsid w:val="00067D4B"/>
    <w:rsid w:val="00067E78"/>
    <w:rsid w:val="000703CF"/>
    <w:rsid w:val="000726DB"/>
    <w:rsid w:val="00075129"/>
    <w:rsid w:val="00075952"/>
    <w:rsid w:val="000801A9"/>
    <w:rsid w:val="000820F9"/>
    <w:rsid w:val="000840CC"/>
    <w:rsid w:val="00084777"/>
    <w:rsid w:val="000860BB"/>
    <w:rsid w:val="00087DB0"/>
    <w:rsid w:val="0009206E"/>
    <w:rsid w:val="00092225"/>
    <w:rsid w:val="000922FE"/>
    <w:rsid w:val="000954F4"/>
    <w:rsid w:val="00095996"/>
    <w:rsid w:val="00097F35"/>
    <w:rsid w:val="000A0A86"/>
    <w:rsid w:val="000A11D2"/>
    <w:rsid w:val="000A2A22"/>
    <w:rsid w:val="000A4030"/>
    <w:rsid w:val="000A5251"/>
    <w:rsid w:val="000A5300"/>
    <w:rsid w:val="000B1A29"/>
    <w:rsid w:val="000B60EF"/>
    <w:rsid w:val="000C2F7C"/>
    <w:rsid w:val="000C3F5B"/>
    <w:rsid w:val="000C4E56"/>
    <w:rsid w:val="000C5C18"/>
    <w:rsid w:val="000C63F0"/>
    <w:rsid w:val="000C7850"/>
    <w:rsid w:val="000C7F9A"/>
    <w:rsid w:val="000D0F3D"/>
    <w:rsid w:val="000D3060"/>
    <w:rsid w:val="000D4A7A"/>
    <w:rsid w:val="000D4BC5"/>
    <w:rsid w:val="000E1209"/>
    <w:rsid w:val="000E5DBE"/>
    <w:rsid w:val="000E71FC"/>
    <w:rsid w:val="000E7915"/>
    <w:rsid w:val="000F0580"/>
    <w:rsid w:val="000F0933"/>
    <w:rsid w:val="000F10F6"/>
    <w:rsid w:val="000F140D"/>
    <w:rsid w:val="000F168E"/>
    <w:rsid w:val="000F24EA"/>
    <w:rsid w:val="000F44E6"/>
    <w:rsid w:val="000F540B"/>
    <w:rsid w:val="000F6E7C"/>
    <w:rsid w:val="001013E1"/>
    <w:rsid w:val="0010196F"/>
    <w:rsid w:val="0010208E"/>
    <w:rsid w:val="001051AF"/>
    <w:rsid w:val="00105A4B"/>
    <w:rsid w:val="00105AD2"/>
    <w:rsid w:val="00106BA3"/>
    <w:rsid w:val="0010774B"/>
    <w:rsid w:val="00107A49"/>
    <w:rsid w:val="00110B1F"/>
    <w:rsid w:val="00110EDA"/>
    <w:rsid w:val="0011231F"/>
    <w:rsid w:val="00112EFC"/>
    <w:rsid w:val="00113160"/>
    <w:rsid w:val="001131EA"/>
    <w:rsid w:val="00116EF3"/>
    <w:rsid w:val="00120A5E"/>
    <w:rsid w:val="001215C7"/>
    <w:rsid w:val="001218A9"/>
    <w:rsid w:val="0012340B"/>
    <w:rsid w:val="0012415E"/>
    <w:rsid w:val="0012488E"/>
    <w:rsid w:val="00124B0D"/>
    <w:rsid w:val="00125024"/>
    <w:rsid w:val="00127C1E"/>
    <w:rsid w:val="00127FE8"/>
    <w:rsid w:val="00130ABC"/>
    <w:rsid w:val="00131D30"/>
    <w:rsid w:val="00133CC6"/>
    <w:rsid w:val="00134011"/>
    <w:rsid w:val="00135172"/>
    <w:rsid w:val="00135F93"/>
    <w:rsid w:val="00137744"/>
    <w:rsid w:val="00140B49"/>
    <w:rsid w:val="00143294"/>
    <w:rsid w:val="00144F0E"/>
    <w:rsid w:val="0014567C"/>
    <w:rsid w:val="00146AB9"/>
    <w:rsid w:val="0015294E"/>
    <w:rsid w:val="0015487E"/>
    <w:rsid w:val="0016167D"/>
    <w:rsid w:val="001649C2"/>
    <w:rsid w:val="00167799"/>
    <w:rsid w:val="00167C8D"/>
    <w:rsid w:val="00170451"/>
    <w:rsid w:val="001705F0"/>
    <w:rsid w:val="00171267"/>
    <w:rsid w:val="0017217E"/>
    <w:rsid w:val="001738F0"/>
    <w:rsid w:val="001750CC"/>
    <w:rsid w:val="00175F78"/>
    <w:rsid w:val="00176AC7"/>
    <w:rsid w:val="00176F21"/>
    <w:rsid w:val="00182E04"/>
    <w:rsid w:val="001834A2"/>
    <w:rsid w:val="00186190"/>
    <w:rsid w:val="00186536"/>
    <w:rsid w:val="0019096B"/>
    <w:rsid w:val="00192BD9"/>
    <w:rsid w:val="00192C0F"/>
    <w:rsid w:val="0019718A"/>
    <w:rsid w:val="001A0C7A"/>
    <w:rsid w:val="001A116C"/>
    <w:rsid w:val="001A25EC"/>
    <w:rsid w:val="001A281F"/>
    <w:rsid w:val="001A32AC"/>
    <w:rsid w:val="001A6AB1"/>
    <w:rsid w:val="001A7D56"/>
    <w:rsid w:val="001B15E9"/>
    <w:rsid w:val="001B1730"/>
    <w:rsid w:val="001B5CE0"/>
    <w:rsid w:val="001C1A51"/>
    <w:rsid w:val="001C6985"/>
    <w:rsid w:val="001D2C48"/>
    <w:rsid w:val="001D4042"/>
    <w:rsid w:val="001D458C"/>
    <w:rsid w:val="001D4EF4"/>
    <w:rsid w:val="001E31D7"/>
    <w:rsid w:val="001E5D98"/>
    <w:rsid w:val="001E6096"/>
    <w:rsid w:val="001F0505"/>
    <w:rsid w:val="001F16D2"/>
    <w:rsid w:val="001F49A8"/>
    <w:rsid w:val="001F5524"/>
    <w:rsid w:val="001F7F26"/>
    <w:rsid w:val="00201963"/>
    <w:rsid w:val="00201C65"/>
    <w:rsid w:val="00202030"/>
    <w:rsid w:val="00203BFF"/>
    <w:rsid w:val="002102D2"/>
    <w:rsid w:val="00210A0E"/>
    <w:rsid w:val="002133F2"/>
    <w:rsid w:val="00213D09"/>
    <w:rsid w:val="0021575D"/>
    <w:rsid w:val="0021711E"/>
    <w:rsid w:val="002202A8"/>
    <w:rsid w:val="00220E2D"/>
    <w:rsid w:val="002211FB"/>
    <w:rsid w:val="0022214B"/>
    <w:rsid w:val="002237A3"/>
    <w:rsid w:val="00223F58"/>
    <w:rsid w:val="002252BD"/>
    <w:rsid w:val="002274D9"/>
    <w:rsid w:val="00227BA1"/>
    <w:rsid w:val="00230EA2"/>
    <w:rsid w:val="0023347E"/>
    <w:rsid w:val="00234DAC"/>
    <w:rsid w:val="00241555"/>
    <w:rsid w:val="002441C6"/>
    <w:rsid w:val="0024447C"/>
    <w:rsid w:val="002449A1"/>
    <w:rsid w:val="0024592F"/>
    <w:rsid w:val="0024696A"/>
    <w:rsid w:val="00251642"/>
    <w:rsid w:val="00255140"/>
    <w:rsid w:val="002561EF"/>
    <w:rsid w:val="00257563"/>
    <w:rsid w:val="00257E0D"/>
    <w:rsid w:val="002605C0"/>
    <w:rsid w:val="00260D7C"/>
    <w:rsid w:val="00261406"/>
    <w:rsid w:val="00261C11"/>
    <w:rsid w:val="00262857"/>
    <w:rsid w:val="00265CD5"/>
    <w:rsid w:val="00266900"/>
    <w:rsid w:val="00271BCB"/>
    <w:rsid w:val="00275270"/>
    <w:rsid w:val="0027600D"/>
    <w:rsid w:val="0028056A"/>
    <w:rsid w:val="0028414D"/>
    <w:rsid w:val="002852EE"/>
    <w:rsid w:val="0029175A"/>
    <w:rsid w:val="0029179F"/>
    <w:rsid w:val="00292326"/>
    <w:rsid w:val="00295361"/>
    <w:rsid w:val="00296348"/>
    <w:rsid w:val="00296E01"/>
    <w:rsid w:val="00297E1A"/>
    <w:rsid w:val="002A05E1"/>
    <w:rsid w:val="002A402F"/>
    <w:rsid w:val="002A4498"/>
    <w:rsid w:val="002A4E59"/>
    <w:rsid w:val="002A6DA2"/>
    <w:rsid w:val="002A7570"/>
    <w:rsid w:val="002B1078"/>
    <w:rsid w:val="002B5FE3"/>
    <w:rsid w:val="002B61DD"/>
    <w:rsid w:val="002B7076"/>
    <w:rsid w:val="002B7842"/>
    <w:rsid w:val="002C2028"/>
    <w:rsid w:val="002C229B"/>
    <w:rsid w:val="002C27D4"/>
    <w:rsid w:val="002C3134"/>
    <w:rsid w:val="002C500D"/>
    <w:rsid w:val="002C6AEB"/>
    <w:rsid w:val="002C722D"/>
    <w:rsid w:val="002C78C7"/>
    <w:rsid w:val="002D04D0"/>
    <w:rsid w:val="002D50F6"/>
    <w:rsid w:val="002D76B2"/>
    <w:rsid w:val="002D7905"/>
    <w:rsid w:val="002D7B20"/>
    <w:rsid w:val="002E1476"/>
    <w:rsid w:val="002E1BFC"/>
    <w:rsid w:val="002E202C"/>
    <w:rsid w:val="002E3299"/>
    <w:rsid w:val="002E46DC"/>
    <w:rsid w:val="002E4985"/>
    <w:rsid w:val="002E4E8F"/>
    <w:rsid w:val="002E64CC"/>
    <w:rsid w:val="002F01B1"/>
    <w:rsid w:val="002F04E4"/>
    <w:rsid w:val="002F0545"/>
    <w:rsid w:val="002F1A53"/>
    <w:rsid w:val="002F1F44"/>
    <w:rsid w:val="002F3568"/>
    <w:rsid w:val="002F3CF5"/>
    <w:rsid w:val="002F6E3F"/>
    <w:rsid w:val="002F715D"/>
    <w:rsid w:val="002F7804"/>
    <w:rsid w:val="002F7AB9"/>
    <w:rsid w:val="0030157A"/>
    <w:rsid w:val="003016B3"/>
    <w:rsid w:val="00302995"/>
    <w:rsid w:val="00303D3D"/>
    <w:rsid w:val="0031077E"/>
    <w:rsid w:val="00314A41"/>
    <w:rsid w:val="00314B46"/>
    <w:rsid w:val="003158D0"/>
    <w:rsid w:val="0031712B"/>
    <w:rsid w:val="0032092A"/>
    <w:rsid w:val="00321528"/>
    <w:rsid w:val="00321717"/>
    <w:rsid w:val="00321D5F"/>
    <w:rsid w:val="003257CB"/>
    <w:rsid w:val="00330E7E"/>
    <w:rsid w:val="00330EF0"/>
    <w:rsid w:val="00333C15"/>
    <w:rsid w:val="00337023"/>
    <w:rsid w:val="003376C4"/>
    <w:rsid w:val="00342D9D"/>
    <w:rsid w:val="00342E7E"/>
    <w:rsid w:val="003440CB"/>
    <w:rsid w:val="00347CC3"/>
    <w:rsid w:val="003504A0"/>
    <w:rsid w:val="00350FE9"/>
    <w:rsid w:val="00352A1D"/>
    <w:rsid w:val="0035315E"/>
    <w:rsid w:val="00353816"/>
    <w:rsid w:val="00361CCF"/>
    <w:rsid w:val="00361F0C"/>
    <w:rsid w:val="00364A0C"/>
    <w:rsid w:val="00366FEE"/>
    <w:rsid w:val="00370CE9"/>
    <w:rsid w:val="003738EA"/>
    <w:rsid w:val="00374D88"/>
    <w:rsid w:val="00374F64"/>
    <w:rsid w:val="00375491"/>
    <w:rsid w:val="00376E91"/>
    <w:rsid w:val="003822A8"/>
    <w:rsid w:val="00383DCC"/>
    <w:rsid w:val="00386A4E"/>
    <w:rsid w:val="00386C51"/>
    <w:rsid w:val="00387362"/>
    <w:rsid w:val="00390C9A"/>
    <w:rsid w:val="00390FCA"/>
    <w:rsid w:val="00392494"/>
    <w:rsid w:val="0039366B"/>
    <w:rsid w:val="003941C6"/>
    <w:rsid w:val="00394A95"/>
    <w:rsid w:val="00396306"/>
    <w:rsid w:val="003963D3"/>
    <w:rsid w:val="00397742"/>
    <w:rsid w:val="00397891"/>
    <w:rsid w:val="003A18E7"/>
    <w:rsid w:val="003A35AE"/>
    <w:rsid w:val="003A5D84"/>
    <w:rsid w:val="003A6BB9"/>
    <w:rsid w:val="003B07D0"/>
    <w:rsid w:val="003B4151"/>
    <w:rsid w:val="003B669C"/>
    <w:rsid w:val="003B786E"/>
    <w:rsid w:val="003B7CFB"/>
    <w:rsid w:val="003C3065"/>
    <w:rsid w:val="003C6EF7"/>
    <w:rsid w:val="003D092D"/>
    <w:rsid w:val="003D0F7B"/>
    <w:rsid w:val="003D0FE9"/>
    <w:rsid w:val="003D2BCE"/>
    <w:rsid w:val="003D4037"/>
    <w:rsid w:val="003D4529"/>
    <w:rsid w:val="003D4B46"/>
    <w:rsid w:val="003D5D6D"/>
    <w:rsid w:val="003D5F48"/>
    <w:rsid w:val="003E01B3"/>
    <w:rsid w:val="003E1E31"/>
    <w:rsid w:val="003E3199"/>
    <w:rsid w:val="003E6DD4"/>
    <w:rsid w:val="003E7DA0"/>
    <w:rsid w:val="003F050A"/>
    <w:rsid w:val="003F059B"/>
    <w:rsid w:val="003F28FF"/>
    <w:rsid w:val="003F482C"/>
    <w:rsid w:val="003F50D1"/>
    <w:rsid w:val="003F5F88"/>
    <w:rsid w:val="003F70FB"/>
    <w:rsid w:val="00401B67"/>
    <w:rsid w:val="00402323"/>
    <w:rsid w:val="00406070"/>
    <w:rsid w:val="00407AA7"/>
    <w:rsid w:val="0041273F"/>
    <w:rsid w:val="004162E6"/>
    <w:rsid w:val="004175FA"/>
    <w:rsid w:val="0042204E"/>
    <w:rsid w:val="00422073"/>
    <w:rsid w:val="004230B4"/>
    <w:rsid w:val="00426325"/>
    <w:rsid w:val="00426691"/>
    <w:rsid w:val="004268C4"/>
    <w:rsid w:val="00427C68"/>
    <w:rsid w:val="004310AC"/>
    <w:rsid w:val="004364F5"/>
    <w:rsid w:val="00437A33"/>
    <w:rsid w:val="004414AC"/>
    <w:rsid w:val="00443A8C"/>
    <w:rsid w:val="0044476E"/>
    <w:rsid w:val="00445E16"/>
    <w:rsid w:val="004469A3"/>
    <w:rsid w:val="00447D52"/>
    <w:rsid w:val="00450C4E"/>
    <w:rsid w:val="00450F8F"/>
    <w:rsid w:val="0045270B"/>
    <w:rsid w:val="00454C45"/>
    <w:rsid w:val="00456EAE"/>
    <w:rsid w:val="00462373"/>
    <w:rsid w:val="004624BE"/>
    <w:rsid w:val="00463A43"/>
    <w:rsid w:val="00465A92"/>
    <w:rsid w:val="004663D3"/>
    <w:rsid w:val="004679CE"/>
    <w:rsid w:val="00470270"/>
    <w:rsid w:val="00471BF2"/>
    <w:rsid w:val="00471CBF"/>
    <w:rsid w:val="00472046"/>
    <w:rsid w:val="00473D2D"/>
    <w:rsid w:val="004740F6"/>
    <w:rsid w:val="00477914"/>
    <w:rsid w:val="0048136E"/>
    <w:rsid w:val="00485AD1"/>
    <w:rsid w:val="00486AA5"/>
    <w:rsid w:val="00486B7F"/>
    <w:rsid w:val="004878DF"/>
    <w:rsid w:val="00491DAD"/>
    <w:rsid w:val="00492830"/>
    <w:rsid w:val="004932B6"/>
    <w:rsid w:val="004946E0"/>
    <w:rsid w:val="00495E6D"/>
    <w:rsid w:val="00496B26"/>
    <w:rsid w:val="00496CA9"/>
    <w:rsid w:val="004A1602"/>
    <w:rsid w:val="004A51A8"/>
    <w:rsid w:val="004A6DE9"/>
    <w:rsid w:val="004B00BD"/>
    <w:rsid w:val="004B49EE"/>
    <w:rsid w:val="004B4D89"/>
    <w:rsid w:val="004B516E"/>
    <w:rsid w:val="004B5235"/>
    <w:rsid w:val="004C0E26"/>
    <w:rsid w:val="004C2EED"/>
    <w:rsid w:val="004C343D"/>
    <w:rsid w:val="004C5277"/>
    <w:rsid w:val="004C6632"/>
    <w:rsid w:val="004C6B0E"/>
    <w:rsid w:val="004D2349"/>
    <w:rsid w:val="004D2423"/>
    <w:rsid w:val="004D3884"/>
    <w:rsid w:val="004D5BBA"/>
    <w:rsid w:val="004E04B6"/>
    <w:rsid w:val="004E0748"/>
    <w:rsid w:val="004E2A3E"/>
    <w:rsid w:val="004E728E"/>
    <w:rsid w:val="004F0AAB"/>
    <w:rsid w:val="004F23F6"/>
    <w:rsid w:val="004F2F0B"/>
    <w:rsid w:val="004F47B7"/>
    <w:rsid w:val="004F5014"/>
    <w:rsid w:val="004F743F"/>
    <w:rsid w:val="004F7C1B"/>
    <w:rsid w:val="00500A8F"/>
    <w:rsid w:val="0050288C"/>
    <w:rsid w:val="005043E9"/>
    <w:rsid w:val="00505D0D"/>
    <w:rsid w:val="005060F9"/>
    <w:rsid w:val="00506680"/>
    <w:rsid w:val="0051030F"/>
    <w:rsid w:val="005109DD"/>
    <w:rsid w:val="0051106C"/>
    <w:rsid w:val="00512BAE"/>
    <w:rsid w:val="00520C0E"/>
    <w:rsid w:val="00522E12"/>
    <w:rsid w:val="00522EAE"/>
    <w:rsid w:val="005250F2"/>
    <w:rsid w:val="00525703"/>
    <w:rsid w:val="00525752"/>
    <w:rsid w:val="005260BE"/>
    <w:rsid w:val="00527573"/>
    <w:rsid w:val="005326B5"/>
    <w:rsid w:val="005339BB"/>
    <w:rsid w:val="00534DE3"/>
    <w:rsid w:val="00535F08"/>
    <w:rsid w:val="00536E3C"/>
    <w:rsid w:val="00536F45"/>
    <w:rsid w:val="00537EE6"/>
    <w:rsid w:val="005447E3"/>
    <w:rsid w:val="00547E75"/>
    <w:rsid w:val="00550343"/>
    <w:rsid w:val="00550BFC"/>
    <w:rsid w:val="0055300A"/>
    <w:rsid w:val="00555016"/>
    <w:rsid w:val="005560BC"/>
    <w:rsid w:val="00556212"/>
    <w:rsid w:val="005606AC"/>
    <w:rsid w:val="005669D8"/>
    <w:rsid w:val="0057022C"/>
    <w:rsid w:val="0057138A"/>
    <w:rsid w:val="00572B6E"/>
    <w:rsid w:val="00572E88"/>
    <w:rsid w:val="00574C99"/>
    <w:rsid w:val="005762B0"/>
    <w:rsid w:val="00576F4D"/>
    <w:rsid w:val="00576FD2"/>
    <w:rsid w:val="00577E22"/>
    <w:rsid w:val="00581F18"/>
    <w:rsid w:val="00582FDD"/>
    <w:rsid w:val="00584716"/>
    <w:rsid w:val="005849E3"/>
    <w:rsid w:val="00584E4F"/>
    <w:rsid w:val="00584E6C"/>
    <w:rsid w:val="005854D7"/>
    <w:rsid w:val="005868F6"/>
    <w:rsid w:val="00586D6C"/>
    <w:rsid w:val="0058733F"/>
    <w:rsid w:val="00587D18"/>
    <w:rsid w:val="00587EBA"/>
    <w:rsid w:val="00592227"/>
    <w:rsid w:val="00593143"/>
    <w:rsid w:val="0059369F"/>
    <w:rsid w:val="00594449"/>
    <w:rsid w:val="00595952"/>
    <w:rsid w:val="00596D1A"/>
    <w:rsid w:val="005A091D"/>
    <w:rsid w:val="005A0E6B"/>
    <w:rsid w:val="005A31F5"/>
    <w:rsid w:val="005A65C8"/>
    <w:rsid w:val="005A70E4"/>
    <w:rsid w:val="005B05DC"/>
    <w:rsid w:val="005B3A36"/>
    <w:rsid w:val="005B3AB2"/>
    <w:rsid w:val="005B48E9"/>
    <w:rsid w:val="005B5847"/>
    <w:rsid w:val="005B5D60"/>
    <w:rsid w:val="005B69C2"/>
    <w:rsid w:val="005C0687"/>
    <w:rsid w:val="005C27A1"/>
    <w:rsid w:val="005C3BCA"/>
    <w:rsid w:val="005C5DEE"/>
    <w:rsid w:val="005C649E"/>
    <w:rsid w:val="005C67D4"/>
    <w:rsid w:val="005C7CC0"/>
    <w:rsid w:val="005D0683"/>
    <w:rsid w:val="005D0922"/>
    <w:rsid w:val="005D26E7"/>
    <w:rsid w:val="005D3CC6"/>
    <w:rsid w:val="005D5AD2"/>
    <w:rsid w:val="005D6F09"/>
    <w:rsid w:val="005E035C"/>
    <w:rsid w:val="005E1836"/>
    <w:rsid w:val="005E262D"/>
    <w:rsid w:val="005E3FC1"/>
    <w:rsid w:val="005E47B3"/>
    <w:rsid w:val="005E5A41"/>
    <w:rsid w:val="005E674A"/>
    <w:rsid w:val="005E6E17"/>
    <w:rsid w:val="005F6112"/>
    <w:rsid w:val="0060183A"/>
    <w:rsid w:val="00602232"/>
    <w:rsid w:val="0060500E"/>
    <w:rsid w:val="006054B9"/>
    <w:rsid w:val="00606AA2"/>
    <w:rsid w:val="00606C4F"/>
    <w:rsid w:val="006107DC"/>
    <w:rsid w:val="0061228A"/>
    <w:rsid w:val="00614EA4"/>
    <w:rsid w:val="00617A76"/>
    <w:rsid w:val="00620469"/>
    <w:rsid w:val="00621ED0"/>
    <w:rsid w:val="00622238"/>
    <w:rsid w:val="00622E0D"/>
    <w:rsid w:val="00624BB2"/>
    <w:rsid w:val="006312D6"/>
    <w:rsid w:val="006316FD"/>
    <w:rsid w:val="0063217A"/>
    <w:rsid w:val="00632329"/>
    <w:rsid w:val="006361BC"/>
    <w:rsid w:val="006364AA"/>
    <w:rsid w:val="00636A3C"/>
    <w:rsid w:val="00637AD1"/>
    <w:rsid w:val="00642CD5"/>
    <w:rsid w:val="006452B3"/>
    <w:rsid w:val="0064537E"/>
    <w:rsid w:val="00645792"/>
    <w:rsid w:val="00646BC1"/>
    <w:rsid w:val="006476B2"/>
    <w:rsid w:val="00647A59"/>
    <w:rsid w:val="00650651"/>
    <w:rsid w:val="00651F92"/>
    <w:rsid w:val="006551A7"/>
    <w:rsid w:val="00657005"/>
    <w:rsid w:val="0066295A"/>
    <w:rsid w:val="00663035"/>
    <w:rsid w:val="00664055"/>
    <w:rsid w:val="00666CF9"/>
    <w:rsid w:val="00667457"/>
    <w:rsid w:val="00667A61"/>
    <w:rsid w:val="006706BC"/>
    <w:rsid w:val="00670ED6"/>
    <w:rsid w:val="006724FC"/>
    <w:rsid w:val="00673E32"/>
    <w:rsid w:val="006740B4"/>
    <w:rsid w:val="00674734"/>
    <w:rsid w:val="0067541F"/>
    <w:rsid w:val="00684D38"/>
    <w:rsid w:val="006858D5"/>
    <w:rsid w:val="0068615F"/>
    <w:rsid w:val="00687DBB"/>
    <w:rsid w:val="00696B1C"/>
    <w:rsid w:val="0069732D"/>
    <w:rsid w:val="006A1AF8"/>
    <w:rsid w:val="006A2B5F"/>
    <w:rsid w:val="006A32C4"/>
    <w:rsid w:val="006A6851"/>
    <w:rsid w:val="006A72B8"/>
    <w:rsid w:val="006B2E55"/>
    <w:rsid w:val="006B576E"/>
    <w:rsid w:val="006B59F4"/>
    <w:rsid w:val="006B6001"/>
    <w:rsid w:val="006C1F05"/>
    <w:rsid w:val="006C2070"/>
    <w:rsid w:val="006C4426"/>
    <w:rsid w:val="006C4C6F"/>
    <w:rsid w:val="006C70AC"/>
    <w:rsid w:val="006C7539"/>
    <w:rsid w:val="006D0A5D"/>
    <w:rsid w:val="006D2C29"/>
    <w:rsid w:val="006D42AD"/>
    <w:rsid w:val="006D4BA3"/>
    <w:rsid w:val="006D5B15"/>
    <w:rsid w:val="006D5C62"/>
    <w:rsid w:val="006D61B1"/>
    <w:rsid w:val="006D642C"/>
    <w:rsid w:val="006E0A19"/>
    <w:rsid w:val="006E10C0"/>
    <w:rsid w:val="006E2A02"/>
    <w:rsid w:val="006E3A9C"/>
    <w:rsid w:val="006E555E"/>
    <w:rsid w:val="006E6842"/>
    <w:rsid w:val="006F038D"/>
    <w:rsid w:val="006F4239"/>
    <w:rsid w:val="006F7CCC"/>
    <w:rsid w:val="00700CD4"/>
    <w:rsid w:val="00700EA9"/>
    <w:rsid w:val="0070255A"/>
    <w:rsid w:val="00705BEF"/>
    <w:rsid w:val="00706179"/>
    <w:rsid w:val="007113DD"/>
    <w:rsid w:val="00712B84"/>
    <w:rsid w:val="0071430B"/>
    <w:rsid w:val="00714822"/>
    <w:rsid w:val="00714B68"/>
    <w:rsid w:val="00720659"/>
    <w:rsid w:val="007216E8"/>
    <w:rsid w:val="0072201D"/>
    <w:rsid w:val="00722244"/>
    <w:rsid w:val="00724F89"/>
    <w:rsid w:val="007307A9"/>
    <w:rsid w:val="00730E38"/>
    <w:rsid w:val="0073152E"/>
    <w:rsid w:val="007320EC"/>
    <w:rsid w:val="00733292"/>
    <w:rsid w:val="0073607E"/>
    <w:rsid w:val="00736663"/>
    <w:rsid w:val="007423FD"/>
    <w:rsid w:val="0074285A"/>
    <w:rsid w:val="00746D57"/>
    <w:rsid w:val="00752704"/>
    <w:rsid w:val="00755EE3"/>
    <w:rsid w:val="00756FDC"/>
    <w:rsid w:val="00757990"/>
    <w:rsid w:val="00760C7A"/>
    <w:rsid w:val="007619AD"/>
    <w:rsid w:val="00762330"/>
    <w:rsid w:val="007640E0"/>
    <w:rsid w:val="007652B1"/>
    <w:rsid w:val="00770616"/>
    <w:rsid w:val="00770E19"/>
    <w:rsid w:val="00772E22"/>
    <w:rsid w:val="0077332B"/>
    <w:rsid w:val="00774257"/>
    <w:rsid w:val="0077510E"/>
    <w:rsid w:val="00775505"/>
    <w:rsid w:val="00776870"/>
    <w:rsid w:val="00776AE1"/>
    <w:rsid w:val="00783500"/>
    <w:rsid w:val="00784A14"/>
    <w:rsid w:val="00785621"/>
    <w:rsid w:val="00785B98"/>
    <w:rsid w:val="00785C31"/>
    <w:rsid w:val="00786093"/>
    <w:rsid w:val="00790157"/>
    <w:rsid w:val="0079282E"/>
    <w:rsid w:val="00793276"/>
    <w:rsid w:val="007A01B4"/>
    <w:rsid w:val="007A03BE"/>
    <w:rsid w:val="007A07E5"/>
    <w:rsid w:val="007A136C"/>
    <w:rsid w:val="007A385D"/>
    <w:rsid w:val="007A386A"/>
    <w:rsid w:val="007A3E79"/>
    <w:rsid w:val="007A463F"/>
    <w:rsid w:val="007A63CA"/>
    <w:rsid w:val="007A6D8A"/>
    <w:rsid w:val="007A6E41"/>
    <w:rsid w:val="007A7362"/>
    <w:rsid w:val="007B0667"/>
    <w:rsid w:val="007B5332"/>
    <w:rsid w:val="007B5A17"/>
    <w:rsid w:val="007B6444"/>
    <w:rsid w:val="007B648A"/>
    <w:rsid w:val="007B7729"/>
    <w:rsid w:val="007C2153"/>
    <w:rsid w:val="007C35F5"/>
    <w:rsid w:val="007C66DE"/>
    <w:rsid w:val="007C6BA0"/>
    <w:rsid w:val="007D0768"/>
    <w:rsid w:val="007D224F"/>
    <w:rsid w:val="007D338A"/>
    <w:rsid w:val="007D62F3"/>
    <w:rsid w:val="007D7B7B"/>
    <w:rsid w:val="007E0C8A"/>
    <w:rsid w:val="007E0E50"/>
    <w:rsid w:val="007E1D53"/>
    <w:rsid w:val="007E3816"/>
    <w:rsid w:val="007E513A"/>
    <w:rsid w:val="007E7F9B"/>
    <w:rsid w:val="007F085E"/>
    <w:rsid w:val="007F181D"/>
    <w:rsid w:val="007F291E"/>
    <w:rsid w:val="007F310C"/>
    <w:rsid w:val="007F35EA"/>
    <w:rsid w:val="007F3ED4"/>
    <w:rsid w:val="007F50F2"/>
    <w:rsid w:val="007F5700"/>
    <w:rsid w:val="007F6EAE"/>
    <w:rsid w:val="007F79E2"/>
    <w:rsid w:val="007F7E66"/>
    <w:rsid w:val="00800241"/>
    <w:rsid w:val="00802548"/>
    <w:rsid w:val="00802890"/>
    <w:rsid w:val="00802957"/>
    <w:rsid w:val="00802B47"/>
    <w:rsid w:val="008062A9"/>
    <w:rsid w:val="00811B0B"/>
    <w:rsid w:val="00813869"/>
    <w:rsid w:val="008140FD"/>
    <w:rsid w:val="00814AA6"/>
    <w:rsid w:val="008153A8"/>
    <w:rsid w:val="0082152D"/>
    <w:rsid w:val="00823389"/>
    <w:rsid w:val="008267EE"/>
    <w:rsid w:val="008302B3"/>
    <w:rsid w:val="0083050D"/>
    <w:rsid w:val="008323A2"/>
    <w:rsid w:val="00832E9B"/>
    <w:rsid w:val="008337B9"/>
    <w:rsid w:val="008376CD"/>
    <w:rsid w:val="00842CC4"/>
    <w:rsid w:val="008432ED"/>
    <w:rsid w:val="00843F7D"/>
    <w:rsid w:val="008450F3"/>
    <w:rsid w:val="0084547A"/>
    <w:rsid w:val="00847D03"/>
    <w:rsid w:val="0085383D"/>
    <w:rsid w:val="00854402"/>
    <w:rsid w:val="00855260"/>
    <w:rsid w:val="00855B44"/>
    <w:rsid w:val="008567DF"/>
    <w:rsid w:val="008573F8"/>
    <w:rsid w:val="00860271"/>
    <w:rsid w:val="00861C01"/>
    <w:rsid w:val="0086227D"/>
    <w:rsid w:val="00863FEE"/>
    <w:rsid w:val="00864BC4"/>
    <w:rsid w:val="008653E0"/>
    <w:rsid w:val="00865DD0"/>
    <w:rsid w:val="008730BB"/>
    <w:rsid w:val="0087559D"/>
    <w:rsid w:val="00875F5A"/>
    <w:rsid w:val="008772A5"/>
    <w:rsid w:val="00880B5C"/>
    <w:rsid w:val="00881CA9"/>
    <w:rsid w:val="00883821"/>
    <w:rsid w:val="0088473E"/>
    <w:rsid w:val="0088500C"/>
    <w:rsid w:val="00885C61"/>
    <w:rsid w:val="0088679A"/>
    <w:rsid w:val="00886EBC"/>
    <w:rsid w:val="008877B6"/>
    <w:rsid w:val="0089014A"/>
    <w:rsid w:val="008902CF"/>
    <w:rsid w:val="008966E9"/>
    <w:rsid w:val="008A4A34"/>
    <w:rsid w:val="008B0BAD"/>
    <w:rsid w:val="008B188A"/>
    <w:rsid w:val="008B4A3B"/>
    <w:rsid w:val="008B507F"/>
    <w:rsid w:val="008B56E5"/>
    <w:rsid w:val="008B5945"/>
    <w:rsid w:val="008B6065"/>
    <w:rsid w:val="008B67E3"/>
    <w:rsid w:val="008C1F77"/>
    <w:rsid w:val="008C3226"/>
    <w:rsid w:val="008C32CE"/>
    <w:rsid w:val="008C551F"/>
    <w:rsid w:val="008C74E3"/>
    <w:rsid w:val="008D1223"/>
    <w:rsid w:val="008D323E"/>
    <w:rsid w:val="008D37FF"/>
    <w:rsid w:val="008D3CFE"/>
    <w:rsid w:val="008D43EB"/>
    <w:rsid w:val="008D476B"/>
    <w:rsid w:val="008D4F85"/>
    <w:rsid w:val="008D5822"/>
    <w:rsid w:val="008D5E6C"/>
    <w:rsid w:val="008D7F16"/>
    <w:rsid w:val="008E08E2"/>
    <w:rsid w:val="008E160B"/>
    <w:rsid w:val="008E2639"/>
    <w:rsid w:val="008E3155"/>
    <w:rsid w:val="008E4534"/>
    <w:rsid w:val="008E54DB"/>
    <w:rsid w:val="008F1045"/>
    <w:rsid w:val="008F31D7"/>
    <w:rsid w:val="008F350F"/>
    <w:rsid w:val="008F45DF"/>
    <w:rsid w:val="009003F3"/>
    <w:rsid w:val="00900680"/>
    <w:rsid w:val="00900E50"/>
    <w:rsid w:val="009014F2"/>
    <w:rsid w:val="009018E4"/>
    <w:rsid w:val="00901CB5"/>
    <w:rsid w:val="00903BED"/>
    <w:rsid w:val="00905613"/>
    <w:rsid w:val="00905BF1"/>
    <w:rsid w:val="009111B0"/>
    <w:rsid w:val="00911C3E"/>
    <w:rsid w:val="00913572"/>
    <w:rsid w:val="00915EF9"/>
    <w:rsid w:val="009171E7"/>
    <w:rsid w:val="00917A3B"/>
    <w:rsid w:val="0092087F"/>
    <w:rsid w:val="00920DCF"/>
    <w:rsid w:val="00922E57"/>
    <w:rsid w:val="0092377F"/>
    <w:rsid w:val="009308D8"/>
    <w:rsid w:val="00930DF7"/>
    <w:rsid w:val="00932291"/>
    <w:rsid w:val="00936821"/>
    <w:rsid w:val="00936E5D"/>
    <w:rsid w:val="00941B36"/>
    <w:rsid w:val="0094276A"/>
    <w:rsid w:val="00942C75"/>
    <w:rsid w:val="00944FA7"/>
    <w:rsid w:val="00947DFF"/>
    <w:rsid w:val="00951195"/>
    <w:rsid w:val="00952045"/>
    <w:rsid w:val="00952BA5"/>
    <w:rsid w:val="009554FB"/>
    <w:rsid w:val="00957AAA"/>
    <w:rsid w:val="00957EEC"/>
    <w:rsid w:val="0096218E"/>
    <w:rsid w:val="00963696"/>
    <w:rsid w:val="009642E6"/>
    <w:rsid w:val="009645E2"/>
    <w:rsid w:val="009659E8"/>
    <w:rsid w:val="00965CCC"/>
    <w:rsid w:val="00972BCD"/>
    <w:rsid w:val="0097304E"/>
    <w:rsid w:val="009750DC"/>
    <w:rsid w:val="0097647D"/>
    <w:rsid w:val="00976B70"/>
    <w:rsid w:val="00980FC5"/>
    <w:rsid w:val="00983752"/>
    <w:rsid w:val="00983EF6"/>
    <w:rsid w:val="009853D3"/>
    <w:rsid w:val="00987939"/>
    <w:rsid w:val="009927BE"/>
    <w:rsid w:val="00992BDC"/>
    <w:rsid w:val="00994EDE"/>
    <w:rsid w:val="009959F3"/>
    <w:rsid w:val="00995FFE"/>
    <w:rsid w:val="009A11C1"/>
    <w:rsid w:val="009A27F7"/>
    <w:rsid w:val="009A292D"/>
    <w:rsid w:val="009A4CAF"/>
    <w:rsid w:val="009A698F"/>
    <w:rsid w:val="009A69B5"/>
    <w:rsid w:val="009B0A5E"/>
    <w:rsid w:val="009B0D73"/>
    <w:rsid w:val="009B3167"/>
    <w:rsid w:val="009B34FA"/>
    <w:rsid w:val="009B4007"/>
    <w:rsid w:val="009C020C"/>
    <w:rsid w:val="009C37E9"/>
    <w:rsid w:val="009C44ED"/>
    <w:rsid w:val="009C4F0D"/>
    <w:rsid w:val="009C5700"/>
    <w:rsid w:val="009C5D67"/>
    <w:rsid w:val="009C5FEE"/>
    <w:rsid w:val="009C6763"/>
    <w:rsid w:val="009C692C"/>
    <w:rsid w:val="009C698C"/>
    <w:rsid w:val="009C7A2D"/>
    <w:rsid w:val="009C7CE4"/>
    <w:rsid w:val="009D0585"/>
    <w:rsid w:val="009D0720"/>
    <w:rsid w:val="009D4E96"/>
    <w:rsid w:val="009D5036"/>
    <w:rsid w:val="009D72F9"/>
    <w:rsid w:val="009D751B"/>
    <w:rsid w:val="009E18AF"/>
    <w:rsid w:val="009E389E"/>
    <w:rsid w:val="009E3EC8"/>
    <w:rsid w:val="009E4A3B"/>
    <w:rsid w:val="009E5B43"/>
    <w:rsid w:val="009E5D88"/>
    <w:rsid w:val="009E60F3"/>
    <w:rsid w:val="009E759C"/>
    <w:rsid w:val="009F0653"/>
    <w:rsid w:val="009F09C7"/>
    <w:rsid w:val="009F0EF0"/>
    <w:rsid w:val="009F32E3"/>
    <w:rsid w:val="009F4229"/>
    <w:rsid w:val="009F572C"/>
    <w:rsid w:val="009F60C6"/>
    <w:rsid w:val="009F784B"/>
    <w:rsid w:val="009F7FCB"/>
    <w:rsid w:val="00A00B17"/>
    <w:rsid w:val="00A01367"/>
    <w:rsid w:val="00A01568"/>
    <w:rsid w:val="00A01F50"/>
    <w:rsid w:val="00A026A3"/>
    <w:rsid w:val="00A04324"/>
    <w:rsid w:val="00A1042E"/>
    <w:rsid w:val="00A123C0"/>
    <w:rsid w:val="00A148E4"/>
    <w:rsid w:val="00A155BB"/>
    <w:rsid w:val="00A1794D"/>
    <w:rsid w:val="00A207E1"/>
    <w:rsid w:val="00A21F58"/>
    <w:rsid w:val="00A220C6"/>
    <w:rsid w:val="00A2358C"/>
    <w:rsid w:val="00A2663A"/>
    <w:rsid w:val="00A274F7"/>
    <w:rsid w:val="00A31C85"/>
    <w:rsid w:val="00A3243C"/>
    <w:rsid w:val="00A32C2E"/>
    <w:rsid w:val="00A33A9E"/>
    <w:rsid w:val="00A45DC2"/>
    <w:rsid w:val="00A5260B"/>
    <w:rsid w:val="00A54E3F"/>
    <w:rsid w:val="00A55EE5"/>
    <w:rsid w:val="00A57A9D"/>
    <w:rsid w:val="00A61F62"/>
    <w:rsid w:val="00A623DF"/>
    <w:rsid w:val="00A62D1A"/>
    <w:rsid w:val="00A634D1"/>
    <w:rsid w:val="00A65638"/>
    <w:rsid w:val="00A67B5E"/>
    <w:rsid w:val="00A70947"/>
    <w:rsid w:val="00A72E16"/>
    <w:rsid w:val="00A73593"/>
    <w:rsid w:val="00A76003"/>
    <w:rsid w:val="00A76D78"/>
    <w:rsid w:val="00A83140"/>
    <w:rsid w:val="00A835D7"/>
    <w:rsid w:val="00A84083"/>
    <w:rsid w:val="00A843DA"/>
    <w:rsid w:val="00A84830"/>
    <w:rsid w:val="00A850C2"/>
    <w:rsid w:val="00A90C11"/>
    <w:rsid w:val="00A91068"/>
    <w:rsid w:val="00A96197"/>
    <w:rsid w:val="00A97B5A"/>
    <w:rsid w:val="00AA2334"/>
    <w:rsid w:val="00AA4DC4"/>
    <w:rsid w:val="00AA6878"/>
    <w:rsid w:val="00AA6A42"/>
    <w:rsid w:val="00AA77BB"/>
    <w:rsid w:val="00AB012E"/>
    <w:rsid w:val="00AB05C6"/>
    <w:rsid w:val="00AB3244"/>
    <w:rsid w:val="00AB61D0"/>
    <w:rsid w:val="00AB66D7"/>
    <w:rsid w:val="00AB694F"/>
    <w:rsid w:val="00AC093C"/>
    <w:rsid w:val="00AC3070"/>
    <w:rsid w:val="00AC32C6"/>
    <w:rsid w:val="00AC5552"/>
    <w:rsid w:val="00AC62D4"/>
    <w:rsid w:val="00AC6A68"/>
    <w:rsid w:val="00AD0F8F"/>
    <w:rsid w:val="00AD191B"/>
    <w:rsid w:val="00AD7BA1"/>
    <w:rsid w:val="00AE1F90"/>
    <w:rsid w:val="00AE3B6A"/>
    <w:rsid w:val="00AE3D62"/>
    <w:rsid w:val="00AF1933"/>
    <w:rsid w:val="00AF4C9F"/>
    <w:rsid w:val="00AF5247"/>
    <w:rsid w:val="00AF6851"/>
    <w:rsid w:val="00AF78C6"/>
    <w:rsid w:val="00AF7CB4"/>
    <w:rsid w:val="00B00961"/>
    <w:rsid w:val="00B017A1"/>
    <w:rsid w:val="00B01ADE"/>
    <w:rsid w:val="00B02383"/>
    <w:rsid w:val="00B06BA6"/>
    <w:rsid w:val="00B10A17"/>
    <w:rsid w:val="00B12237"/>
    <w:rsid w:val="00B12F3C"/>
    <w:rsid w:val="00B133E0"/>
    <w:rsid w:val="00B15266"/>
    <w:rsid w:val="00B15FF3"/>
    <w:rsid w:val="00B22EB0"/>
    <w:rsid w:val="00B22F00"/>
    <w:rsid w:val="00B231C9"/>
    <w:rsid w:val="00B24BE0"/>
    <w:rsid w:val="00B24FF7"/>
    <w:rsid w:val="00B25051"/>
    <w:rsid w:val="00B2543C"/>
    <w:rsid w:val="00B26192"/>
    <w:rsid w:val="00B262CD"/>
    <w:rsid w:val="00B27809"/>
    <w:rsid w:val="00B316D1"/>
    <w:rsid w:val="00B31A0A"/>
    <w:rsid w:val="00B3303F"/>
    <w:rsid w:val="00B333D6"/>
    <w:rsid w:val="00B33B11"/>
    <w:rsid w:val="00B33C5E"/>
    <w:rsid w:val="00B35002"/>
    <w:rsid w:val="00B40A66"/>
    <w:rsid w:val="00B41090"/>
    <w:rsid w:val="00B41ACD"/>
    <w:rsid w:val="00B42C5F"/>
    <w:rsid w:val="00B42F30"/>
    <w:rsid w:val="00B43D42"/>
    <w:rsid w:val="00B50955"/>
    <w:rsid w:val="00B50CF4"/>
    <w:rsid w:val="00B57332"/>
    <w:rsid w:val="00B57B39"/>
    <w:rsid w:val="00B60E9C"/>
    <w:rsid w:val="00B61B4F"/>
    <w:rsid w:val="00B61F83"/>
    <w:rsid w:val="00B6632A"/>
    <w:rsid w:val="00B675AF"/>
    <w:rsid w:val="00B67C18"/>
    <w:rsid w:val="00B70DD1"/>
    <w:rsid w:val="00B70FCD"/>
    <w:rsid w:val="00B7156F"/>
    <w:rsid w:val="00B74F51"/>
    <w:rsid w:val="00B74F9C"/>
    <w:rsid w:val="00B769E3"/>
    <w:rsid w:val="00B77E91"/>
    <w:rsid w:val="00B801E0"/>
    <w:rsid w:val="00B80489"/>
    <w:rsid w:val="00B81EE7"/>
    <w:rsid w:val="00B83422"/>
    <w:rsid w:val="00B841C1"/>
    <w:rsid w:val="00B84A70"/>
    <w:rsid w:val="00B8765A"/>
    <w:rsid w:val="00B918ED"/>
    <w:rsid w:val="00B94B4D"/>
    <w:rsid w:val="00B955B3"/>
    <w:rsid w:val="00B96E9E"/>
    <w:rsid w:val="00BA15F6"/>
    <w:rsid w:val="00BA36D8"/>
    <w:rsid w:val="00BA45DA"/>
    <w:rsid w:val="00BB0CAA"/>
    <w:rsid w:val="00BB11A8"/>
    <w:rsid w:val="00BB2026"/>
    <w:rsid w:val="00BB2917"/>
    <w:rsid w:val="00BC1BD9"/>
    <w:rsid w:val="00BC287E"/>
    <w:rsid w:val="00BC2BC9"/>
    <w:rsid w:val="00BC313D"/>
    <w:rsid w:val="00BC33E4"/>
    <w:rsid w:val="00BC3B43"/>
    <w:rsid w:val="00BC52DF"/>
    <w:rsid w:val="00BC5535"/>
    <w:rsid w:val="00BD0BB7"/>
    <w:rsid w:val="00BD1289"/>
    <w:rsid w:val="00BD1FBF"/>
    <w:rsid w:val="00BD6A1A"/>
    <w:rsid w:val="00BD70D2"/>
    <w:rsid w:val="00BE02A7"/>
    <w:rsid w:val="00BE05D1"/>
    <w:rsid w:val="00BE2788"/>
    <w:rsid w:val="00BE4122"/>
    <w:rsid w:val="00BE6A7C"/>
    <w:rsid w:val="00BE6F4C"/>
    <w:rsid w:val="00BE7E70"/>
    <w:rsid w:val="00BF1D55"/>
    <w:rsid w:val="00BF255F"/>
    <w:rsid w:val="00BF460C"/>
    <w:rsid w:val="00BF5F9C"/>
    <w:rsid w:val="00BF64D4"/>
    <w:rsid w:val="00BF7188"/>
    <w:rsid w:val="00C01A60"/>
    <w:rsid w:val="00C02F99"/>
    <w:rsid w:val="00C03770"/>
    <w:rsid w:val="00C0591A"/>
    <w:rsid w:val="00C05D8E"/>
    <w:rsid w:val="00C06B20"/>
    <w:rsid w:val="00C06CBE"/>
    <w:rsid w:val="00C12254"/>
    <w:rsid w:val="00C123C3"/>
    <w:rsid w:val="00C126DF"/>
    <w:rsid w:val="00C12FFD"/>
    <w:rsid w:val="00C15DBB"/>
    <w:rsid w:val="00C1760C"/>
    <w:rsid w:val="00C205D1"/>
    <w:rsid w:val="00C22473"/>
    <w:rsid w:val="00C226AD"/>
    <w:rsid w:val="00C25076"/>
    <w:rsid w:val="00C277CB"/>
    <w:rsid w:val="00C3476B"/>
    <w:rsid w:val="00C347CD"/>
    <w:rsid w:val="00C369C9"/>
    <w:rsid w:val="00C444EA"/>
    <w:rsid w:val="00C46291"/>
    <w:rsid w:val="00C50DF8"/>
    <w:rsid w:val="00C5114A"/>
    <w:rsid w:val="00C51558"/>
    <w:rsid w:val="00C552B9"/>
    <w:rsid w:val="00C55BB5"/>
    <w:rsid w:val="00C56947"/>
    <w:rsid w:val="00C61F30"/>
    <w:rsid w:val="00C622ED"/>
    <w:rsid w:val="00C633FC"/>
    <w:rsid w:val="00C64953"/>
    <w:rsid w:val="00C66AE8"/>
    <w:rsid w:val="00C73A98"/>
    <w:rsid w:val="00C745E3"/>
    <w:rsid w:val="00C75C2E"/>
    <w:rsid w:val="00C766EF"/>
    <w:rsid w:val="00C773FC"/>
    <w:rsid w:val="00C807AA"/>
    <w:rsid w:val="00C80EE6"/>
    <w:rsid w:val="00C816F6"/>
    <w:rsid w:val="00C817A7"/>
    <w:rsid w:val="00C861B2"/>
    <w:rsid w:val="00C8693D"/>
    <w:rsid w:val="00C86975"/>
    <w:rsid w:val="00C87AF3"/>
    <w:rsid w:val="00C9196E"/>
    <w:rsid w:val="00C92253"/>
    <w:rsid w:val="00CA0B67"/>
    <w:rsid w:val="00CA2A8B"/>
    <w:rsid w:val="00CA35F4"/>
    <w:rsid w:val="00CA3AAF"/>
    <w:rsid w:val="00CA3B29"/>
    <w:rsid w:val="00CA3F61"/>
    <w:rsid w:val="00CA65E9"/>
    <w:rsid w:val="00CB4339"/>
    <w:rsid w:val="00CB49F9"/>
    <w:rsid w:val="00CB6A55"/>
    <w:rsid w:val="00CC06D4"/>
    <w:rsid w:val="00CC1890"/>
    <w:rsid w:val="00CC33CC"/>
    <w:rsid w:val="00CC3AAF"/>
    <w:rsid w:val="00CC480B"/>
    <w:rsid w:val="00CC72C5"/>
    <w:rsid w:val="00CC7310"/>
    <w:rsid w:val="00CD1A18"/>
    <w:rsid w:val="00CD20F4"/>
    <w:rsid w:val="00CD332E"/>
    <w:rsid w:val="00CD41C2"/>
    <w:rsid w:val="00CD521B"/>
    <w:rsid w:val="00CE06FC"/>
    <w:rsid w:val="00CE0E96"/>
    <w:rsid w:val="00CE26EF"/>
    <w:rsid w:val="00CE4335"/>
    <w:rsid w:val="00CE665F"/>
    <w:rsid w:val="00CF1574"/>
    <w:rsid w:val="00CF197E"/>
    <w:rsid w:val="00CF2158"/>
    <w:rsid w:val="00CF2467"/>
    <w:rsid w:val="00CF3719"/>
    <w:rsid w:val="00CF3A6A"/>
    <w:rsid w:val="00CF5040"/>
    <w:rsid w:val="00CF64B9"/>
    <w:rsid w:val="00D0229F"/>
    <w:rsid w:val="00D024BD"/>
    <w:rsid w:val="00D03331"/>
    <w:rsid w:val="00D073EA"/>
    <w:rsid w:val="00D117A9"/>
    <w:rsid w:val="00D11EA9"/>
    <w:rsid w:val="00D12776"/>
    <w:rsid w:val="00D12D35"/>
    <w:rsid w:val="00D13B46"/>
    <w:rsid w:val="00D1451A"/>
    <w:rsid w:val="00D15702"/>
    <w:rsid w:val="00D17DB4"/>
    <w:rsid w:val="00D2092D"/>
    <w:rsid w:val="00D241AC"/>
    <w:rsid w:val="00D31AFE"/>
    <w:rsid w:val="00D332D6"/>
    <w:rsid w:val="00D33660"/>
    <w:rsid w:val="00D346FC"/>
    <w:rsid w:val="00D35444"/>
    <w:rsid w:val="00D3691D"/>
    <w:rsid w:val="00D371C4"/>
    <w:rsid w:val="00D41244"/>
    <w:rsid w:val="00D41ADE"/>
    <w:rsid w:val="00D427CF"/>
    <w:rsid w:val="00D459D0"/>
    <w:rsid w:val="00D471D1"/>
    <w:rsid w:val="00D50B46"/>
    <w:rsid w:val="00D50E81"/>
    <w:rsid w:val="00D54329"/>
    <w:rsid w:val="00D560EF"/>
    <w:rsid w:val="00D56918"/>
    <w:rsid w:val="00D56A55"/>
    <w:rsid w:val="00D60EC2"/>
    <w:rsid w:val="00D634D8"/>
    <w:rsid w:val="00D63C2D"/>
    <w:rsid w:val="00D64983"/>
    <w:rsid w:val="00D651FF"/>
    <w:rsid w:val="00D65275"/>
    <w:rsid w:val="00D65A32"/>
    <w:rsid w:val="00D71DEB"/>
    <w:rsid w:val="00D72A27"/>
    <w:rsid w:val="00D73882"/>
    <w:rsid w:val="00D73A55"/>
    <w:rsid w:val="00D80609"/>
    <w:rsid w:val="00D819B9"/>
    <w:rsid w:val="00D82BB6"/>
    <w:rsid w:val="00D83C6B"/>
    <w:rsid w:val="00D83EBA"/>
    <w:rsid w:val="00D8505B"/>
    <w:rsid w:val="00D8779B"/>
    <w:rsid w:val="00D9196B"/>
    <w:rsid w:val="00D93FF6"/>
    <w:rsid w:val="00D94187"/>
    <w:rsid w:val="00D94BB7"/>
    <w:rsid w:val="00D96CBF"/>
    <w:rsid w:val="00DA100A"/>
    <w:rsid w:val="00DA1053"/>
    <w:rsid w:val="00DA25AD"/>
    <w:rsid w:val="00DA27D8"/>
    <w:rsid w:val="00DA4E6F"/>
    <w:rsid w:val="00DA6890"/>
    <w:rsid w:val="00DA73E5"/>
    <w:rsid w:val="00DA74AE"/>
    <w:rsid w:val="00DB0013"/>
    <w:rsid w:val="00DB0090"/>
    <w:rsid w:val="00DB030D"/>
    <w:rsid w:val="00DB1679"/>
    <w:rsid w:val="00DB57CF"/>
    <w:rsid w:val="00DB60D3"/>
    <w:rsid w:val="00DC0EF6"/>
    <w:rsid w:val="00DC2F1C"/>
    <w:rsid w:val="00DC2F84"/>
    <w:rsid w:val="00DC4BA2"/>
    <w:rsid w:val="00DC79B4"/>
    <w:rsid w:val="00DD19A2"/>
    <w:rsid w:val="00DD4C8D"/>
    <w:rsid w:val="00DD6134"/>
    <w:rsid w:val="00DD70C2"/>
    <w:rsid w:val="00DD7187"/>
    <w:rsid w:val="00DD7FB4"/>
    <w:rsid w:val="00DE14AA"/>
    <w:rsid w:val="00DE1C6F"/>
    <w:rsid w:val="00DE477C"/>
    <w:rsid w:val="00DE6206"/>
    <w:rsid w:val="00DE7CB6"/>
    <w:rsid w:val="00DF1C7E"/>
    <w:rsid w:val="00DF269B"/>
    <w:rsid w:val="00DF4AB0"/>
    <w:rsid w:val="00DF66EE"/>
    <w:rsid w:val="00DF6776"/>
    <w:rsid w:val="00E00245"/>
    <w:rsid w:val="00E00371"/>
    <w:rsid w:val="00E02C20"/>
    <w:rsid w:val="00E03B49"/>
    <w:rsid w:val="00E03CD2"/>
    <w:rsid w:val="00E047B9"/>
    <w:rsid w:val="00E04E2C"/>
    <w:rsid w:val="00E05FBF"/>
    <w:rsid w:val="00E0694A"/>
    <w:rsid w:val="00E07A31"/>
    <w:rsid w:val="00E11850"/>
    <w:rsid w:val="00E17346"/>
    <w:rsid w:val="00E178B5"/>
    <w:rsid w:val="00E21BE2"/>
    <w:rsid w:val="00E22994"/>
    <w:rsid w:val="00E23047"/>
    <w:rsid w:val="00E23270"/>
    <w:rsid w:val="00E244C3"/>
    <w:rsid w:val="00E309FD"/>
    <w:rsid w:val="00E3185A"/>
    <w:rsid w:val="00E31EA8"/>
    <w:rsid w:val="00E403D4"/>
    <w:rsid w:val="00E403F2"/>
    <w:rsid w:val="00E40561"/>
    <w:rsid w:val="00E414F9"/>
    <w:rsid w:val="00E4181F"/>
    <w:rsid w:val="00E469BB"/>
    <w:rsid w:val="00E474C8"/>
    <w:rsid w:val="00E50150"/>
    <w:rsid w:val="00E5049F"/>
    <w:rsid w:val="00E504D8"/>
    <w:rsid w:val="00E52CBB"/>
    <w:rsid w:val="00E5347D"/>
    <w:rsid w:val="00E53FC7"/>
    <w:rsid w:val="00E5672F"/>
    <w:rsid w:val="00E61308"/>
    <w:rsid w:val="00E61E70"/>
    <w:rsid w:val="00E632DC"/>
    <w:rsid w:val="00E64653"/>
    <w:rsid w:val="00E64D3E"/>
    <w:rsid w:val="00E66B08"/>
    <w:rsid w:val="00E671E9"/>
    <w:rsid w:val="00E67E38"/>
    <w:rsid w:val="00E74FEC"/>
    <w:rsid w:val="00E7533C"/>
    <w:rsid w:val="00E76995"/>
    <w:rsid w:val="00E80E43"/>
    <w:rsid w:val="00E82660"/>
    <w:rsid w:val="00E8311C"/>
    <w:rsid w:val="00E84F51"/>
    <w:rsid w:val="00E879A7"/>
    <w:rsid w:val="00E87A04"/>
    <w:rsid w:val="00E9119A"/>
    <w:rsid w:val="00E922B4"/>
    <w:rsid w:val="00E92489"/>
    <w:rsid w:val="00E940B9"/>
    <w:rsid w:val="00E94534"/>
    <w:rsid w:val="00E94F96"/>
    <w:rsid w:val="00E97970"/>
    <w:rsid w:val="00EA3A25"/>
    <w:rsid w:val="00EA4003"/>
    <w:rsid w:val="00EB0151"/>
    <w:rsid w:val="00EB2B49"/>
    <w:rsid w:val="00EB354F"/>
    <w:rsid w:val="00EB3C98"/>
    <w:rsid w:val="00EB5B3E"/>
    <w:rsid w:val="00EB67CF"/>
    <w:rsid w:val="00EB7BFA"/>
    <w:rsid w:val="00EB7ED2"/>
    <w:rsid w:val="00EC3B2E"/>
    <w:rsid w:val="00EC43C8"/>
    <w:rsid w:val="00EC50AC"/>
    <w:rsid w:val="00EC515F"/>
    <w:rsid w:val="00EC5B1E"/>
    <w:rsid w:val="00EC6FCD"/>
    <w:rsid w:val="00ED1806"/>
    <w:rsid w:val="00ED205C"/>
    <w:rsid w:val="00ED36BD"/>
    <w:rsid w:val="00ED3F02"/>
    <w:rsid w:val="00ED457C"/>
    <w:rsid w:val="00ED73AE"/>
    <w:rsid w:val="00EE0709"/>
    <w:rsid w:val="00EE0B92"/>
    <w:rsid w:val="00EE0E07"/>
    <w:rsid w:val="00EE0F0E"/>
    <w:rsid w:val="00EE12C8"/>
    <w:rsid w:val="00EE2093"/>
    <w:rsid w:val="00EE2860"/>
    <w:rsid w:val="00EE68D2"/>
    <w:rsid w:val="00EF064D"/>
    <w:rsid w:val="00EF0FC3"/>
    <w:rsid w:val="00EF14B7"/>
    <w:rsid w:val="00EF3F0F"/>
    <w:rsid w:val="00EF44AD"/>
    <w:rsid w:val="00F014F8"/>
    <w:rsid w:val="00F03E86"/>
    <w:rsid w:val="00F04204"/>
    <w:rsid w:val="00F06268"/>
    <w:rsid w:val="00F0779F"/>
    <w:rsid w:val="00F13937"/>
    <w:rsid w:val="00F13F80"/>
    <w:rsid w:val="00F14F4B"/>
    <w:rsid w:val="00F17267"/>
    <w:rsid w:val="00F22886"/>
    <w:rsid w:val="00F2468C"/>
    <w:rsid w:val="00F27587"/>
    <w:rsid w:val="00F304D4"/>
    <w:rsid w:val="00F307F9"/>
    <w:rsid w:val="00F30D89"/>
    <w:rsid w:val="00F3131F"/>
    <w:rsid w:val="00F32538"/>
    <w:rsid w:val="00F33862"/>
    <w:rsid w:val="00F34A00"/>
    <w:rsid w:val="00F34D93"/>
    <w:rsid w:val="00F421B3"/>
    <w:rsid w:val="00F4320A"/>
    <w:rsid w:val="00F4389F"/>
    <w:rsid w:val="00F4580E"/>
    <w:rsid w:val="00F479D0"/>
    <w:rsid w:val="00F62AEB"/>
    <w:rsid w:val="00F65AC2"/>
    <w:rsid w:val="00F66A6D"/>
    <w:rsid w:val="00F707BD"/>
    <w:rsid w:val="00F72010"/>
    <w:rsid w:val="00F72239"/>
    <w:rsid w:val="00F7332D"/>
    <w:rsid w:val="00F7477C"/>
    <w:rsid w:val="00F75185"/>
    <w:rsid w:val="00F76428"/>
    <w:rsid w:val="00F76C07"/>
    <w:rsid w:val="00F77798"/>
    <w:rsid w:val="00F77B4D"/>
    <w:rsid w:val="00F81471"/>
    <w:rsid w:val="00F820F7"/>
    <w:rsid w:val="00F83A44"/>
    <w:rsid w:val="00F85C22"/>
    <w:rsid w:val="00F867B6"/>
    <w:rsid w:val="00F86B12"/>
    <w:rsid w:val="00F87AC6"/>
    <w:rsid w:val="00F9085A"/>
    <w:rsid w:val="00F91B05"/>
    <w:rsid w:val="00F93FDA"/>
    <w:rsid w:val="00F94E53"/>
    <w:rsid w:val="00F959D8"/>
    <w:rsid w:val="00F979AC"/>
    <w:rsid w:val="00FA038F"/>
    <w:rsid w:val="00FA0BEC"/>
    <w:rsid w:val="00FA6353"/>
    <w:rsid w:val="00FB32DE"/>
    <w:rsid w:val="00FB3ADA"/>
    <w:rsid w:val="00FB3F63"/>
    <w:rsid w:val="00FB6425"/>
    <w:rsid w:val="00FB6D62"/>
    <w:rsid w:val="00FB7A50"/>
    <w:rsid w:val="00FC0DF5"/>
    <w:rsid w:val="00FC2436"/>
    <w:rsid w:val="00FC44B5"/>
    <w:rsid w:val="00FC6127"/>
    <w:rsid w:val="00FC79F6"/>
    <w:rsid w:val="00FC7A4D"/>
    <w:rsid w:val="00FD08A0"/>
    <w:rsid w:val="00FD1E97"/>
    <w:rsid w:val="00FD1F63"/>
    <w:rsid w:val="00FD27C2"/>
    <w:rsid w:val="00FD2E42"/>
    <w:rsid w:val="00FD4AA6"/>
    <w:rsid w:val="00FE1394"/>
    <w:rsid w:val="00FE145A"/>
    <w:rsid w:val="00FE2B9E"/>
    <w:rsid w:val="00FE6123"/>
    <w:rsid w:val="00FE6555"/>
    <w:rsid w:val="00FE6E03"/>
    <w:rsid w:val="00FE7B58"/>
    <w:rsid w:val="00FF0536"/>
    <w:rsid w:val="00FF1681"/>
    <w:rsid w:val="00FF51E1"/>
    <w:rsid w:val="00FF5862"/>
    <w:rsid w:val="018C085F"/>
    <w:rsid w:val="01A2189D"/>
    <w:rsid w:val="025A3D59"/>
    <w:rsid w:val="02A7794B"/>
    <w:rsid w:val="035756EB"/>
    <w:rsid w:val="0365642C"/>
    <w:rsid w:val="03F50025"/>
    <w:rsid w:val="04053B9B"/>
    <w:rsid w:val="043F79E2"/>
    <w:rsid w:val="052678D2"/>
    <w:rsid w:val="05F3327E"/>
    <w:rsid w:val="06DF3581"/>
    <w:rsid w:val="081C1045"/>
    <w:rsid w:val="09942CFE"/>
    <w:rsid w:val="0B081D22"/>
    <w:rsid w:val="0BD22349"/>
    <w:rsid w:val="0CD410C8"/>
    <w:rsid w:val="0D7E0753"/>
    <w:rsid w:val="0E6B3A4F"/>
    <w:rsid w:val="0F54544C"/>
    <w:rsid w:val="0FF53A7F"/>
    <w:rsid w:val="10D27A7E"/>
    <w:rsid w:val="113957A9"/>
    <w:rsid w:val="1170576E"/>
    <w:rsid w:val="12371157"/>
    <w:rsid w:val="12EF32F4"/>
    <w:rsid w:val="141E1656"/>
    <w:rsid w:val="151764EB"/>
    <w:rsid w:val="1633660B"/>
    <w:rsid w:val="164E6B5D"/>
    <w:rsid w:val="16F349C8"/>
    <w:rsid w:val="182C352A"/>
    <w:rsid w:val="19E0690A"/>
    <w:rsid w:val="1A145169"/>
    <w:rsid w:val="1A850214"/>
    <w:rsid w:val="1AF916A0"/>
    <w:rsid w:val="1B237141"/>
    <w:rsid w:val="1BE37D43"/>
    <w:rsid w:val="1C146065"/>
    <w:rsid w:val="1C5D01D3"/>
    <w:rsid w:val="1D206455"/>
    <w:rsid w:val="1D2B6DAD"/>
    <w:rsid w:val="1D4E2CAF"/>
    <w:rsid w:val="1DD30ECA"/>
    <w:rsid w:val="1F355F6A"/>
    <w:rsid w:val="200703F7"/>
    <w:rsid w:val="210E19AF"/>
    <w:rsid w:val="215E19DD"/>
    <w:rsid w:val="21643BFE"/>
    <w:rsid w:val="21BD4094"/>
    <w:rsid w:val="21F539D5"/>
    <w:rsid w:val="22124623"/>
    <w:rsid w:val="23AB62D5"/>
    <w:rsid w:val="23DD59D7"/>
    <w:rsid w:val="244F102D"/>
    <w:rsid w:val="245F0FC8"/>
    <w:rsid w:val="24776664"/>
    <w:rsid w:val="247E61D7"/>
    <w:rsid w:val="259671F9"/>
    <w:rsid w:val="25BD0EF9"/>
    <w:rsid w:val="27201032"/>
    <w:rsid w:val="27C61B43"/>
    <w:rsid w:val="298E1762"/>
    <w:rsid w:val="29BD6E35"/>
    <w:rsid w:val="2B62521D"/>
    <w:rsid w:val="2CAA1FEC"/>
    <w:rsid w:val="2D28660D"/>
    <w:rsid w:val="2E9F27F8"/>
    <w:rsid w:val="2F0958AB"/>
    <w:rsid w:val="2F2F3642"/>
    <w:rsid w:val="32650F71"/>
    <w:rsid w:val="335C2374"/>
    <w:rsid w:val="33787F55"/>
    <w:rsid w:val="33C148CD"/>
    <w:rsid w:val="345011CA"/>
    <w:rsid w:val="351E1E35"/>
    <w:rsid w:val="36193484"/>
    <w:rsid w:val="36226798"/>
    <w:rsid w:val="36363A93"/>
    <w:rsid w:val="364A2160"/>
    <w:rsid w:val="375907F8"/>
    <w:rsid w:val="3A2E68EE"/>
    <w:rsid w:val="3B673A47"/>
    <w:rsid w:val="3C91192E"/>
    <w:rsid w:val="3DA142FF"/>
    <w:rsid w:val="3DB85F73"/>
    <w:rsid w:val="3E223BB7"/>
    <w:rsid w:val="3EDC341C"/>
    <w:rsid w:val="3EF44CD0"/>
    <w:rsid w:val="3F7B60DD"/>
    <w:rsid w:val="408C61B1"/>
    <w:rsid w:val="4148218A"/>
    <w:rsid w:val="42836989"/>
    <w:rsid w:val="42B85153"/>
    <w:rsid w:val="433B0AA7"/>
    <w:rsid w:val="455C39C2"/>
    <w:rsid w:val="462A092A"/>
    <w:rsid w:val="46E44E71"/>
    <w:rsid w:val="46E45A60"/>
    <w:rsid w:val="47524326"/>
    <w:rsid w:val="4794153F"/>
    <w:rsid w:val="49D255C4"/>
    <w:rsid w:val="4A5850FA"/>
    <w:rsid w:val="4F5C19EC"/>
    <w:rsid w:val="4FCF0A7D"/>
    <w:rsid w:val="51386675"/>
    <w:rsid w:val="51B24B0E"/>
    <w:rsid w:val="51FD57A1"/>
    <w:rsid w:val="52563AF9"/>
    <w:rsid w:val="52AE775C"/>
    <w:rsid w:val="52C765C8"/>
    <w:rsid w:val="531D5B22"/>
    <w:rsid w:val="538F119C"/>
    <w:rsid w:val="53AC58A5"/>
    <w:rsid w:val="54E0537E"/>
    <w:rsid w:val="5576721A"/>
    <w:rsid w:val="55C74D2F"/>
    <w:rsid w:val="572E32B3"/>
    <w:rsid w:val="58D90834"/>
    <w:rsid w:val="59973AAD"/>
    <w:rsid w:val="5AAC53F5"/>
    <w:rsid w:val="5C0A1E9A"/>
    <w:rsid w:val="5C593EAF"/>
    <w:rsid w:val="5D63417B"/>
    <w:rsid w:val="60C76A50"/>
    <w:rsid w:val="60FE76C2"/>
    <w:rsid w:val="62C863B4"/>
    <w:rsid w:val="634C1065"/>
    <w:rsid w:val="634E1302"/>
    <w:rsid w:val="646E0AD0"/>
    <w:rsid w:val="64DC4668"/>
    <w:rsid w:val="65EE48AB"/>
    <w:rsid w:val="680D0F03"/>
    <w:rsid w:val="68FE630D"/>
    <w:rsid w:val="69540864"/>
    <w:rsid w:val="69B54F45"/>
    <w:rsid w:val="6AED6BFB"/>
    <w:rsid w:val="6B1538BA"/>
    <w:rsid w:val="6CAF10AB"/>
    <w:rsid w:val="6CFC2298"/>
    <w:rsid w:val="6E001286"/>
    <w:rsid w:val="6FDE3B11"/>
    <w:rsid w:val="6FF84353"/>
    <w:rsid w:val="6FFB92A4"/>
    <w:rsid w:val="703216A4"/>
    <w:rsid w:val="706D03F4"/>
    <w:rsid w:val="722320F1"/>
    <w:rsid w:val="72DA4A37"/>
    <w:rsid w:val="73120C63"/>
    <w:rsid w:val="73974748"/>
    <w:rsid w:val="762A7CB2"/>
    <w:rsid w:val="768C42EB"/>
    <w:rsid w:val="76C631A4"/>
    <w:rsid w:val="77507158"/>
    <w:rsid w:val="77892036"/>
    <w:rsid w:val="77B530EB"/>
    <w:rsid w:val="77DC456C"/>
    <w:rsid w:val="78467810"/>
    <w:rsid w:val="786A240A"/>
    <w:rsid w:val="788C31A4"/>
    <w:rsid w:val="7A6B664D"/>
    <w:rsid w:val="7AB0300D"/>
    <w:rsid w:val="7AD41F34"/>
    <w:rsid w:val="7CEA4C80"/>
    <w:rsid w:val="7D604531"/>
    <w:rsid w:val="7FF963E6"/>
    <w:rsid w:val="87E35F76"/>
    <w:rsid w:val="AF662CCF"/>
    <w:rsid w:val="BE1FF691"/>
    <w:rsid w:val="BFB37735"/>
    <w:rsid w:val="FCFF3881"/>
    <w:rsid w:val="FDFBC226"/>
    <w:rsid w:val="FECE717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outlineLvl w:val="1"/>
    </w:pPr>
    <w:rPr>
      <w:rFonts w:ascii="宋体" w:hAnsi="宋体" w:cs="宋体"/>
      <w:b/>
      <w:bCs/>
      <w:kern w:val="0"/>
      <w:sz w:val="36"/>
      <w:szCs w:val="36"/>
    </w:rPr>
  </w:style>
  <w:style w:type="character" w:default="1" w:styleId="14">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3"/>
    <w:qFormat/>
    <w:uiPriority w:val="0"/>
  </w:style>
  <w:style w:type="paragraph" w:styleId="4">
    <w:name w:val="Body Text"/>
    <w:basedOn w:val="1"/>
    <w:semiHidden/>
    <w:qFormat/>
    <w:uiPriority w:val="0"/>
  </w:style>
  <w:style w:type="paragraph" w:styleId="5">
    <w:name w:val="Body Text Indent"/>
    <w:basedOn w:val="1"/>
    <w:qFormat/>
    <w:uiPriority w:val="0"/>
    <w:pPr>
      <w:widowControl/>
      <w:spacing w:before="100" w:beforeAutospacing="1" w:after="100" w:afterAutospacing="1"/>
    </w:pPr>
    <w:rPr>
      <w:rFonts w:ascii="宋体" w:hAnsi="宋体" w:cs="宋体"/>
      <w:kern w:val="0"/>
      <w:sz w:val="24"/>
    </w:rPr>
  </w:style>
  <w:style w:type="paragraph" w:styleId="6">
    <w:name w:val="Body Text Indent 2"/>
    <w:basedOn w:val="1"/>
    <w:qFormat/>
    <w:uiPriority w:val="0"/>
    <w:pPr>
      <w:widowControl/>
      <w:spacing w:before="100" w:beforeAutospacing="1" w:after="100" w:afterAutospacing="1"/>
    </w:pPr>
    <w:rPr>
      <w:rFonts w:ascii="宋体" w:hAnsi="宋体" w:cs="宋体"/>
      <w:kern w:val="0"/>
      <w:sz w:val="24"/>
    </w:r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widowControl/>
      <w:spacing w:before="100" w:beforeAutospacing="1" w:after="100" w:afterAutospacing="1"/>
    </w:pPr>
    <w:rPr>
      <w:rFonts w:ascii="宋体" w:hAnsi="宋体" w:cs="宋体"/>
      <w:kern w:val="0"/>
      <w:sz w:val="24"/>
    </w:rPr>
  </w:style>
  <w:style w:type="paragraph" w:styleId="11">
    <w:name w:val="annotation subject"/>
    <w:basedOn w:val="3"/>
    <w:next w:val="3"/>
    <w:link w:val="24"/>
    <w:qFormat/>
    <w:uiPriority w:val="0"/>
    <w:rPr>
      <w:b/>
      <w:bCs/>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0"/>
    <w:rPr>
      <w:b/>
      <w:bCs/>
    </w:rPr>
  </w:style>
  <w:style w:type="character" w:styleId="16">
    <w:name w:val="Emphasis"/>
    <w:basedOn w:val="14"/>
    <w:qFormat/>
    <w:uiPriority w:val="20"/>
    <w:rPr>
      <w:i/>
      <w:iCs/>
    </w:rPr>
  </w:style>
  <w:style w:type="character" w:styleId="17">
    <w:name w:val="Hyperlink"/>
    <w:qFormat/>
    <w:uiPriority w:val="0"/>
    <w:rPr>
      <w:color w:val="0068B7"/>
      <w:u w:val="none"/>
    </w:rPr>
  </w:style>
  <w:style w:type="character" w:styleId="18">
    <w:name w:val="annotation reference"/>
    <w:basedOn w:val="14"/>
    <w:qFormat/>
    <w:uiPriority w:val="0"/>
    <w:rPr>
      <w:sz w:val="21"/>
      <w:szCs w:val="21"/>
    </w:rPr>
  </w:style>
  <w:style w:type="character" w:customStyle="1" w:styleId="19">
    <w:name w:val="141"/>
    <w:qFormat/>
    <w:uiPriority w:val="0"/>
    <w:rPr>
      <w:sz w:val="21"/>
      <w:szCs w:val="21"/>
    </w:rPr>
  </w:style>
  <w:style w:type="character" w:customStyle="1" w:styleId="20">
    <w:name w:val="ztag pre"/>
    <w:basedOn w:val="14"/>
    <w:qFormat/>
    <w:uiPriority w:val="0"/>
  </w:style>
  <w:style w:type="character" w:customStyle="1" w:styleId="21">
    <w:name w:val="已访问的超链接1"/>
    <w:qFormat/>
    <w:uiPriority w:val="0"/>
    <w:rPr>
      <w:color w:val="800080"/>
      <w:u w:val="single"/>
    </w:rPr>
  </w:style>
  <w:style w:type="paragraph" w:styleId="22">
    <w:name w:val="List Paragraph"/>
    <w:basedOn w:val="1"/>
    <w:qFormat/>
    <w:uiPriority w:val="34"/>
    <w:pPr>
      <w:widowControl/>
      <w:numPr>
        <w:ilvl w:val="0"/>
        <w:numId w:val="1"/>
      </w:numPr>
      <w:ind w:left="210" w:leftChars="100" w:right="210" w:rightChars="100" w:firstLine="420"/>
    </w:pPr>
  </w:style>
  <w:style w:type="character" w:customStyle="1" w:styleId="23">
    <w:name w:val="批注文字 字符"/>
    <w:basedOn w:val="14"/>
    <w:link w:val="3"/>
    <w:qFormat/>
    <w:uiPriority w:val="0"/>
    <w:rPr>
      <w:kern w:val="2"/>
      <w:sz w:val="21"/>
      <w:szCs w:val="24"/>
    </w:rPr>
  </w:style>
  <w:style w:type="character" w:customStyle="1" w:styleId="24">
    <w:name w:val="批注主题 字符"/>
    <w:basedOn w:val="23"/>
    <w:link w:val="11"/>
    <w:qFormat/>
    <w:uiPriority w:val="0"/>
    <w:rPr>
      <w:b/>
      <w:bCs/>
      <w:kern w:val="2"/>
      <w:sz w:val="21"/>
      <w:szCs w:val="24"/>
    </w:rPr>
  </w:style>
  <w:style w:type="character" w:customStyle="1" w:styleId="25">
    <w:name w:val="未处理的提及1"/>
    <w:basedOn w:val="14"/>
    <w:qFormat/>
    <w:uiPriority w:val="0"/>
    <w:rPr>
      <w:color w:val="605E5C"/>
      <w:shd w:val="clear" w:color="auto" w:fill="E1DFDD"/>
    </w:rPr>
  </w:style>
  <w:style w:type="paragraph" w:customStyle="1" w:styleId="26">
    <w:name w:val="Default"/>
    <w:qFormat/>
    <w:uiPriority w:val="0"/>
    <w:pPr>
      <w:widowControl w:val="0"/>
      <w:autoSpaceDE w:val="0"/>
      <w:autoSpaceDN w:val="0"/>
      <w:adjustRightInd w:val="0"/>
      <w:spacing w:line="360" w:lineRule="auto"/>
    </w:pPr>
    <w:rPr>
      <w:rFonts w:cs="宋体" w:asciiTheme="minorEastAsia" w:hAnsiTheme="minorEastAsia" w:eastAsiaTheme="minorEastAsia"/>
      <w:sz w:val="18"/>
      <w:szCs w:val="18"/>
      <w:lang w:val="en-US" w:eastAsia="zh-CN" w:bidi="ar-SA"/>
    </w:rPr>
  </w:style>
  <w:style w:type="paragraph" w:customStyle="1" w:styleId="27">
    <w:name w:val="无间隔1"/>
    <w:qFormat/>
    <w:uiPriority w:val="1"/>
    <w:rPr>
      <w:rFonts w:ascii="Calibri" w:hAnsi="Calibri" w:eastAsia="Calibri" w:cs="Times New Roman"/>
      <w:sz w:val="22"/>
      <w:szCs w:val="22"/>
      <w:lang w:val="en-US" w:eastAsia="en-US" w:bidi="ar-SA"/>
    </w:rPr>
  </w:style>
  <w:style w:type="paragraph" w:customStyle="1" w:styleId="28">
    <w:name w:val="Table Text"/>
    <w:basedOn w:val="1"/>
    <w:semiHidden/>
    <w:qFormat/>
    <w:uiPriority w:val="0"/>
    <w:pPr>
      <w:spacing w:before="168"/>
    </w:pPr>
    <w:rPr>
      <w:rFonts w:ascii="宋体" w:hAnsi="宋体" w:cs="宋体"/>
      <w:spacing w:val="-1"/>
      <w:szCs w:val="21"/>
    </w:rPr>
  </w:style>
  <w:style w:type="table" w:customStyle="1" w:styleId="2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6</Pages>
  <Words>2535</Words>
  <Characters>2836</Characters>
  <Lines>18</Lines>
  <Paragraphs>5</Paragraphs>
  <TotalTime>0</TotalTime>
  <ScaleCrop>false</ScaleCrop>
  <LinksUpToDate>false</LinksUpToDate>
  <CharactersWithSpaces>2880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2024-08-09T23:27:00Z</dcterms:created>
  <dc:creator>全美国际教育协会</dc:creator>
  <cp:lastModifiedBy>86186</cp:lastModifiedBy>
  <cp:lastPrinted>2011-12-19T08:54:00Z</cp:lastPrinted>
  <dcterms:modified xsi:type="dcterms:W3CDTF">2026-01-20T08:55:51Z</dcterms:modified>
  <dc:title>加州大学河滨分校短期访学项目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980A7CBE804C46D39D8EE3C84F8E03CC_13</vt:lpwstr>
  </property>
  <property fmtid="{D5CDD505-2E9C-101B-9397-08002B2CF9AE}" pid="4" name="KSOTemplateDocerSaveRecord">
    <vt:lpwstr>eyJoZGlkIjoiNWRiN2EzOTIwNTFkMWRjYjlhM2M2MjEwMTAzOTAyMTAiLCJ1c2VySWQiOiI4MDQ4OTA2OTQifQ==</vt:lpwstr>
  </property>
</Properties>
</file>