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909C6">
      <w:pPr>
        <w:jc w:val="center"/>
        <w:rPr>
          <w:rFonts w:hint="eastAsia"/>
          <w:b/>
          <w:bCs/>
          <w:sz w:val="28"/>
          <w:szCs w:val="28"/>
          <w:lang w:val="en-US" w:eastAsia="zh-CN"/>
        </w:rPr>
      </w:pPr>
      <w:r>
        <w:rPr>
          <w:rFonts w:hint="eastAsia" w:ascii="宋体" w:hAnsi="宋体" w:eastAsia="宋体" w:cs="宋体"/>
          <w:b/>
          <w:bCs/>
          <w:sz w:val="28"/>
          <w:szCs w:val="28"/>
          <w:lang w:val="en-US" w:eastAsia="zh-CN"/>
        </w:rPr>
        <w:t>全美国际新加坡高校访学项目-</w:t>
      </w:r>
      <w:r>
        <w:rPr>
          <w:rFonts w:hint="eastAsia"/>
          <w:b/>
          <w:bCs/>
          <w:sz w:val="28"/>
          <w:szCs w:val="28"/>
          <w:lang w:val="en-US" w:eastAsia="zh-CN"/>
        </w:rPr>
        <w:t>人工智能的法律与监管</w:t>
      </w:r>
    </w:p>
    <w:p w14:paraId="6A38DB19">
      <w:pPr>
        <w:jc w:val="center"/>
        <w:rPr>
          <w:rFonts w:hint="default"/>
          <w:b/>
          <w:bCs/>
          <w:sz w:val="28"/>
          <w:szCs w:val="28"/>
          <w:lang w:val="en-US" w:eastAsia="zh-CN"/>
        </w:rPr>
      </w:pPr>
      <w:r>
        <w:rPr>
          <w:rFonts w:hint="eastAsia" w:ascii="宋体" w:hAnsi="宋体" w:eastAsia="宋体" w:cs="宋体"/>
          <w:b/>
          <w:bCs/>
          <w:sz w:val="28"/>
          <w:szCs w:val="28"/>
          <w:lang w:val="en-US" w:eastAsia="zh-CN"/>
        </w:rPr>
        <w:t>学术提供方</w:t>
      </w:r>
      <w:r>
        <w:rPr>
          <w:rFonts w:hint="eastAsia" w:ascii="宋体" w:hAnsi="宋体" w:cs="宋体"/>
          <w:b/>
          <w:bCs/>
          <w:sz w:val="28"/>
          <w:szCs w:val="28"/>
          <w:lang w:val="en-US" w:eastAsia="zh-CN"/>
        </w:rPr>
        <w:t>：</w:t>
      </w:r>
      <w:r>
        <w:rPr>
          <w:rFonts w:hint="eastAsia" w:ascii="宋体" w:hAnsi="宋体" w:eastAsia="宋体" w:cs="宋体"/>
          <w:b/>
          <w:bCs/>
          <w:sz w:val="28"/>
          <w:szCs w:val="28"/>
          <w:lang w:val="en-US" w:eastAsia="zh-CN"/>
        </w:rPr>
        <w:t>新加坡国立大学持续与终身教育学院（SCALE）&amp;</w:t>
      </w:r>
      <w:r>
        <w:rPr>
          <w:rFonts w:hint="eastAsia" w:ascii="宋体" w:hAnsi="宋体" w:cs="宋体"/>
          <w:b/>
          <w:bCs/>
          <w:sz w:val="28"/>
          <w:szCs w:val="28"/>
          <w:lang w:val="en-US" w:eastAsia="zh-CN"/>
        </w:rPr>
        <w:t>法学院</w:t>
      </w:r>
      <w:r>
        <w:rPr>
          <w:rFonts w:hint="eastAsia" w:ascii="宋体" w:hAnsi="宋体" w:eastAsia="宋体" w:cs="宋体"/>
          <w:b/>
          <w:bCs/>
          <w:sz w:val="28"/>
          <w:szCs w:val="28"/>
          <w:lang w:val="en-US" w:eastAsia="zh-CN"/>
        </w:rPr>
        <w:t>学院(</w:t>
      </w:r>
      <w:r>
        <w:rPr>
          <w:rFonts w:hint="eastAsia" w:ascii="宋体" w:hAnsi="宋体" w:cs="宋体"/>
          <w:b/>
          <w:bCs/>
          <w:sz w:val="28"/>
          <w:szCs w:val="28"/>
          <w:lang w:val="en-US" w:eastAsia="zh-CN"/>
        </w:rPr>
        <w:t>LAW</w:t>
      </w:r>
      <w:r>
        <w:rPr>
          <w:rFonts w:hint="eastAsia" w:ascii="宋体" w:hAnsi="宋体" w:eastAsia="宋体" w:cs="宋体"/>
          <w:b/>
          <w:bCs/>
          <w:sz w:val="28"/>
          <w:szCs w:val="28"/>
          <w:lang w:val="en-US" w:eastAsia="zh-CN"/>
        </w:rPr>
        <w:t>)</w:t>
      </w:r>
    </w:p>
    <w:p w14:paraId="27CF0E77"/>
    <w:p w14:paraId="18CE3E87">
      <w:pPr>
        <w:rPr>
          <w:b/>
          <w:bCs/>
        </w:rPr>
      </w:pPr>
      <w:r>
        <w:rPr>
          <w:rFonts w:hint="eastAsia"/>
          <w:b/>
          <w:bCs/>
        </w:rPr>
        <w:t>一、项目综述</w:t>
      </w:r>
    </w:p>
    <w:p w14:paraId="327A6631">
      <w:pPr>
        <w:ind w:firstLine="420" w:firstLineChars="200"/>
        <w:rPr>
          <w:rFonts w:hint="default"/>
          <w:lang w:val="en-US" w:eastAsia="zh-CN"/>
        </w:rPr>
      </w:pPr>
      <w:r>
        <w:rPr>
          <w:rFonts w:hint="eastAsia"/>
        </w:rPr>
        <w:t>人工智能</w:t>
      </w:r>
      <w:r>
        <w:rPr>
          <w:rFonts w:hint="eastAsia"/>
          <w:lang w:val="en-US" w:eastAsia="zh-CN"/>
        </w:rPr>
        <w:t>作为当今</w:t>
      </w:r>
      <w:r>
        <w:rPr>
          <w:rFonts w:hint="eastAsia"/>
        </w:rPr>
        <w:t>最具革命性的技术创新之一</w:t>
      </w:r>
      <w:r>
        <w:rPr>
          <w:rFonts w:hint="eastAsia"/>
          <w:lang w:eastAsia="zh-CN"/>
        </w:rPr>
        <w:t>，</w:t>
      </w:r>
      <w:r>
        <w:rPr>
          <w:rFonts w:hint="eastAsia"/>
          <w:lang w:val="en-US" w:eastAsia="zh-CN"/>
        </w:rPr>
        <w:t>在带来巨大机遇的同时也伴随着潜在风险。本课程将引导学生深入探讨两大核心议题：人工智能可能引发的社会风险，以及法律在规范人工智能发展中的应对策略。通过系统性学习，学生能够深入洞悉人工智能与法律的交互逻辑，搭建起融合多学科视角的知识架构。</w:t>
      </w:r>
    </w:p>
    <w:p w14:paraId="7EB50D50">
      <w:pPr>
        <w:ind w:firstLine="420" w:firstLineChars="200"/>
        <w:rPr>
          <w:rFonts w:hint="eastAsia"/>
          <w:lang w:val="en-US" w:eastAsia="zh-CN"/>
        </w:rPr>
      </w:pPr>
      <w:r>
        <w:rPr>
          <w:rFonts w:hint="eastAsia"/>
        </w:rPr>
        <w:t>通过本课程的学习，学生将</w:t>
      </w:r>
      <w:r>
        <w:rPr>
          <w:rFonts w:hint="eastAsia"/>
          <w:lang w:val="en-US" w:eastAsia="zh-CN"/>
        </w:rPr>
        <w:t>获得：</w:t>
      </w:r>
    </w:p>
    <w:p w14:paraId="1EB69E20">
      <w:pPr>
        <w:numPr>
          <w:ilvl w:val="0"/>
          <w:numId w:val="0"/>
        </w:numPr>
        <w:ind w:leftChars="300"/>
        <w:rPr>
          <w:rFonts w:hint="eastAsia"/>
          <w:lang w:eastAsia="zh-CN"/>
        </w:rPr>
      </w:pPr>
      <w:r>
        <w:rPr>
          <w:rFonts w:hint="eastAsia"/>
          <w:lang w:val="en-US" w:eastAsia="zh-CN"/>
        </w:rPr>
        <w:t>- 对</w:t>
      </w:r>
      <w:r>
        <w:rPr>
          <w:rFonts w:hint="eastAsia"/>
        </w:rPr>
        <w:t>人工智能相关的法律问题进行批判性思考，分析其利弊及潜在危险</w:t>
      </w:r>
      <w:r>
        <w:rPr>
          <w:rFonts w:hint="eastAsia"/>
          <w:lang w:eastAsia="zh-CN"/>
        </w:rPr>
        <w:t>；</w:t>
      </w:r>
    </w:p>
    <w:p w14:paraId="5FBC56FB">
      <w:pPr>
        <w:numPr>
          <w:ilvl w:val="0"/>
          <w:numId w:val="0"/>
        </w:numPr>
        <w:ind w:leftChars="300"/>
        <w:rPr>
          <w:rFonts w:hint="eastAsia"/>
          <w:lang w:eastAsia="zh-CN"/>
        </w:rPr>
      </w:pPr>
      <w:r>
        <w:rPr>
          <w:rFonts w:hint="eastAsia"/>
          <w:lang w:val="en-US" w:eastAsia="zh-CN"/>
        </w:rPr>
        <w:t xml:space="preserve">- </w:t>
      </w:r>
      <w:r>
        <w:rPr>
          <w:rFonts w:hint="eastAsia"/>
        </w:rPr>
        <w:t>了解如何运用法律手段规范人工智能，分析法律在人工智能领域的作用</w:t>
      </w:r>
      <w:r>
        <w:rPr>
          <w:rFonts w:hint="eastAsia"/>
          <w:lang w:eastAsia="zh-CN"/>
        </w:rPr>
        <w:t>；</w:t>
      </w:r>
    </w:p>
    <w:p w14:paraId="553A93D3">
      <w:pPr>
        <w:numPr>
          <w:ilvl w:val="0"/>
          <w:numId w:val="0"/>
        </w:numPr>
        <w:ind w:leftChars="300"/>
        <w:rPr>
          <w:rFonts w:hint="eastAsia"/>
          <w:lang w:eastAsia="zh-CN"/>
        </w:rPr>
      </w:pPr>
      <w:r>
        <w:rPr>
          <w:rFonts w:hint="eastAsia"/>
          <w:lang w:val="en-US" w:eastAsia="zh-CN"/>
        </w:rPr>
        <w:t xml:space="preserve">- </w:t>
      </w:r>
      <w:r>
        <w:rPr>
          <w:rFonts w:hint="eastAsia"/>
        </w:rPr>
        <w:t>掌握人工智能和法律两个领域的互动关系，具备跨学科思考和分析的能力</w:t>
      </w:r>
      <w:r>
        <w:rPr>
          <w:rFonts w:hint="eastAsia"/>
          <w:lang w:eastAsia="zh-CN"/>
        </w:rPr>
        <w:t>；</w:t>
      </w:r>
    </w:p>
    <w:p w14:paraId="64C7908D">
      <w:pPr>
        <w:numPr>
          <w:ilvl w:val="0"/>
          <w:numId w:val="0"/>
        </w:numPr>
        <w:ind w:leftChars="300"/>
        <w:rPr>
          <w:rFonts w:hint="eastAsia"/>
          <w:lang w:eastAsia="zh-CN"/>
        </w:rPr>
      </w:pPr>
      <w:r>
        <w:rPr>
          <w:rFonts w:hint="eastAsia"/>
          <w:lang w:val="en-US" w:eastAsia="zh-CN"/>
        </w:rPr>
        <w:t xml:space="preserve">- </w:t>
      </w:r>
      <w:r>
        <w:rPr>
          <w:rFonts w:hint="eastAsia"/>
        </w:rPr>
        <w:t>深入理解法律与人工智能的互动模式，提升对这一复杂领域的认知水平</w:t>
      </w:r>
      <w:r>
        <w:rPr>
          <w:rFonts w:hint="eastAsia"/>
          <w:lang w:eastAsia="zh-CN"/>
        </w:rPr>
        <w:t>。</w:t>
      </w:r>
    </w:p>
    <w:p w14:paraId="76977A58">
      <w:pPr>
        <w:pStyle w:val="22"/>
        <w:numPr>
          <w:ilvl w:val="0"/>
          <w:numId w:val="0"/>
        </w:numPr>
      </w:pPr>
    </w:p>
    <w:p w14:paraId="54C918A5">
      <w:pPr>
        <w:rPr>
          <w:b/>
          <w:bCs/>
        </w:rPr>
      </w:pPr>
      <w:r>
        <w:rPr>
          <w:rFonts w:hint="eastAsia"/>
          <w:b/>
          <w:bCs/>
        </w:rPr>
        <w:t>二、项目优势特色</w:t>
      </w:r>
    </w:p>
    <w:p w14:paraId="5AB967F6">
      <w:pPr>
        <w:pStyle w:val="22"/>
        <w:numPr>
          <w:ilvl w:val="0"/>
          <w:numId w:val="2"/>
        </w:numPr>
        <w:ind w:leftChars="0"/>
        <w:rPr>
          <w:b/>
          <w:bCs/>
        </w:rPr>
      </w:pPr>
      <w:bookmarkStart w:id="0" w:name="_Hlk129187307"/>
      <w:r>
        <w:rPr>
          <w:rFonts w:hint="eastAsia"/>
          <w:b/>
          <w:bCs/>
        </w:rPr>
        <w:t>【官方品质保障】</w:t>
      </w:r>
      <w:r>
        <w:rPr>
          <w:rFonts w:hint="eastAsia"/>
        </w:rPr>
        <w:t>学</w:t>
      </w:r>
      <w:r>
        <w:rPr>
          <w:rFonts w:hint="eastAsia"/>
          <w:lang w:val="en-US" w:eastAsia="zh-CN"/>
        </w:rPr>
        <w:t>员</w:t>
      </w:r>
      <w:r>
        <w:rPr>
          <w:rFonts w:hint="eastAsia"/>
        </w:rPr>
        <w:t>可获得新加坡国立大学</w:t>
      </w:r>
      <w:r>
        <w:rPr>
          <w:rFonts w:hint="eastAsia"/>
          <w:lang w:val="en-US" w:eastAsia="zh-CN"/>
        </w:rPr>
        <w:t xml:space="preserve">SCALE </w:t>
      </w:r>
      <w:r>
        <w:rPr>
          <w:rFonts w:hint="eastAsia"/>
        </w:rPr>
        <w:t>正式的</w:t>
      </w:r>
      <w:bookmarkEnd w:id="0"/>
      <w:r>
        <w:rPr>
          <w:rFonts w:hint="eastAsia"/>
        </w:rPr>
        <w:t>项目录取通知</w:t>
      </w:r>
      <w:r>
        <w:rPr>
          <w:rFonts w:hint="eastAsia"/>
          <w:lang w:eastAsia="zh-CN"/>
        </w:rPr>
        <w:t>；</w:t>
      </w:r>
      <w:r>
        <w:rPr>
          <w:rFonts w:hint="eastAsia"/>
          <w:lang w:val="en-US" w:eastAsia="zh-CN"/>
        </w:rPr>
        <w:t>每个学员都会收到NUS在</w:t>
      </w:r>
      <w:r>
        <w:rPr>
          <w:rFonts w:hint="eastAsia"/>
          <w:lang w:eastAsia="zh-CN"/>
        </w:rPr>
        <w:t xml:space="preserve">线学习平台 Canvas </w:t>
      </w:r>
      <w:r>
        <w:rPr>
          <w:rFonts w:hint="eastAsia"/>
          <w:lang w:val="en-US" w:eastAsia="zh-CN"/>
        </w:rPr>
        <w:t>的</w:t>
      </w:r>
      <w:r>
        <w:rPr>
          <w:rFonts w:hint="eastAsia"/>
          <w:lang w:eastAsia="zh-CN"/>
        </w:rPr>
        <w:t>个人账户，</w:t>
      </w:r>
      <w:r>
        <w:rPr>
          <w:rFonts w:hint="eastAsia"/>
          <w:lang w:val="en-US" w:eastAsia="zh-CN"/>
        </w:rPr>
        <w:t>用于查看授课教师</w:t>
      </w:r>
      <w:r>
        <w:rPr>
          <w:rFonts w:hint="eastAsia"/>
          <w:lang w:eastAsia="zh-CN"/>
        </w:rPr>
        <w:t>分配的学习任务、提交作业</w:t>
      </w:r>
      <w:r>
        <w:rPr>
          <w:rFonts w:hint="eastAsia"/>
          <w:lang w:val="en-US" w:eastAsia="zh-CN"/>
        </w:rPr>
        <w:t>和</w:t>
      </w:r>
      <w:r>
        <w:rPr>
          <w:rFonts w:hint="eastAsia"/>
          <w:lang w:eastAsia="zh-CN"/>
        </w:rPr>
        <w:t>下载课程资料。</w:t>
      </w:r>
    </w:p>
    <w:p w14:paraId="67AA0187">
      <w:pPr>
        <w:pStyle w:val="22"/>
        <w:numPr>
          <w:ilvl w:val="0"/>
          <w:numId w:val="2"/>
        </w:numPr>
        <w:ind w:leftChars="0"/>
        <w:rPr>
          <w:b/>
          <w:bCs/>
        </w:rPr>
      </w:pPr>
      <w:r>
        <w:rPr>
          <w:rFonts w:hint="eastAsia"/>
          <w:b/>
          <w:bCs/>
        </w:rPr>
        <w:t>【丰富的学习体验】</w:t>
      </w:r>
      <w:r>
        <w:rPr>
          <w:rFonts w:hint="eastAsia"/>
        </w:rPr>
        <w:t>对人工智能相关法律问题的批判性思考能力，了解运用法律规范人工智能的方法，掌握人工智能与法律的互动关系，具备跨学科思考分析能力，深入理解二者互动模式，提升对该复杂领域的认知水平；</w:t>
      </w:r>
    </w:p>
    <w:p w14:paraId="537B1538">
      <w:pPr>
        <w:pStyle w:val="22"/>
        <w:numPr>
          <w:ilvl w:val="0"/>
          <w:numId w:val="2"/>
        </w:numPr>
        <w:ind w:leftChars="0"/>
        <w:rPr>
          <w:b/>
          <w:bCs/>
        </w:rPr>
      </w:pPr>
      <w:r>
        <w:rPr>
          <w:rFonts w:hint="eastAsia"/>
          <w:b/>
          <w:bCs/>
        </w:rPr>
        <w:t>【可接受四/六级成绩】</w:t>
      </w:r>
      <w:r>
        <w:rPr>
          <w:rFonts w:hint="eastAsia"/>
        </w:rPr>
        <w:t>无需托福雅思成绩，可使用大学英语四六级等成绩进行申请;</w:t>
      </w:r>
      <w:r>
        <w:br w:type="textWrapping"/>
      </w:r>
    </w:p>
    <w:p w14:paraId="02C55D2A">
      <w:pPr>
        <w:rPr>
          <w:b/>
          <w:bCs/>
        </w:rPr>
      </w:pPr>
      <w:r>
        <w:rPr>
          <w:rFonts w:hint="eastAsia"/>
          <w:b/>
          <w:bCs/>
        </w:rPr>
        <w:t>三、新加坡国立</w:t>
      </w:r>
      <w:r>
        <w:rPr>
          <w:b/>
          <w:bCs/>
        </w:rPr>
        <w:t>大学</w:t>
      </w:r>
      <w:r>
        <w:rPr>
          <w:rFonts w:hint="eastAsia"/>
          <w:b/>
          <w:bCs/>
        </w:rPr>
        <w:t>简介</w:t>
      </w:r>
    </w:p>
    <w:p w14:paraId="519336A5">
      <w:pPr>
        <w:pStyle w:val="22"/>
        <w:numPr>
          <w:ilvl w:val="0"/>
          <w:numId w:val="2"/>
        </w:numPr>
        <w:ind w:leftChars="0"/>
      </w:pPr>
      <w:r>
        <w:t>新加坡国立大学（National University of Singapore），简称国大（NUS），是一所位于新加坡的公立研究型大学，创办于1905年，是新加坡历史最悠久、规模最大、声誉最高的大学之一</w:t>
      </w:r>
      <w:r>
        <w:rPr>
          <w:rFonts w:hint="eastAsia"/>
        </w:rPr>
        <w:t>；</w:t>
      </w:r>
      <w:r>
        <w:t>学校以其强大的科研能力、全球化的教育环境和卓越的教学质量而闻名</w:t>
      </w:r>
      <w:r>
        <w:rPr>
          <w:rFonts w:hint="eastAsia"/>
        </w:rPr>
        <w:t>；</w:t>
      </w:r>
    </w:p>
    <w:p w14:paraId="643C6E59">
      <w:pPr>
        <w:pStyle w:val="22"/>
        <w:numPr>
          <w:ilvl w:val="0"/>
          <w:numId w:val="2"/>
        </w:numPr>
        <w:ind w:leftChars="0"/>
      </w:pPr>
      <w:r>
        <w:t>新加坡国立大学在世界大学排名中一直名列前茅，</w:t>
      </w:r>
      <w:r>
        <w:rPr>
          <w:rFonts w:hint="eastAsia"/>
        </w:rPr>
        <w:t> 根据202</w:t>
      </w:r>
      <w:r>
        <w:rPr>
          <w:rFonts w:hint="eastAsia"/>
          <w:lang w:val="en-US" w:eastAsia="zh-CN"/>
        </w:rPr>
        <w:t>6</w:t>
      </w:r>
      <w:r>
        <w:rPr>
          <w:rFonts w:hint="eastAsia"/>
        </w:rPr>
        <w:t>年QS世界大学排名，NUS位列全球大学第8位；</w:t>
      </w:r>
      <w:r>
        <w:t> 20</w:t>
      </w:r>
      <w:r>
        <w:rPr>
          <w:rFonts w:hint="eastAsia"/>
        </w:rPr>
        <w:t>2</w:t>
      </w:r>
      <w:r>
        <w:rPr>
          <w:rFonts w:hint="eastAsia"/>
          <w:lang w:val="en-US" w:eastAsia="zh-CN"/>
        </w:rPr>
        <w:t>6</w:t>
      </w:r>
      <w:r>
        <w:rPr>
          <w:rFonts w:hint="eastAsia"/>
        </w:rPr>
        <w:t>年USNEWS全球大学排名，NUS位列全球第2</w:t>
      </w:r>
      <w:r>
        <w:rPr>
          <w:rFonts w:hint="eastAsia"/>
          <w:lang w:val="en-US" w:eastAsia="zh-CN"/>
        </w:rPr>
        <w:t>0</w:t>
      </w:r>
      <w:r>
        <w:rPr>
          <w:rFonts w:hint="eastAsia"/>
        </w:rPr>
        <w:t>位</w:t>
      </w:r>
      <w:r>
        <w:rPr>
          <w:rFonts w:hint="eastAsia"/>
          <w:lang w:eastAsia="zh-CN"/>
        </w:rPr>
        <w:t>；</w:t>
      </w:r>
    </w:p>
    <w:p w14:paraId="72B2B844">
      <w:pPr>
        <w:pStyle w:val="22"/>
        <w:numPr>
          <w:ilvl w:val="0"/>
          <w:numId w:val="2"/>
        </w:numPr>
        <w:ind w:leftChars="0"/>
      </w:pPr>
      <w:r>
        <w:rPr>
          <w:rFonts w:hint="eastAsia"/>
        </w:rPr>
        <w:t>学校下设有16个院系及37所校级研究机构或研究中心，包括工程学院、科学学院、</w:t>
      </w:r>
      <w:r>
        <w:rPr>
          <w:rFonts w:hint="eastAsia"/>
          <w:lang w:val="en-US" w:eastAsia="zh-CN"/>
        </w:rPr>
        <w:t>文学</w:t>
      </w:r>
      <w:r>
        <w:rPr>
          <w:rFonts w:hint="eastAsia"/>
        </w:rPr>
        <w:t>与社会科学学院、医学院、牙医学院、法学院、商学院、公共政策学院等。学校还提供丰富多样的研究生项目，吸引了来自全球各地的优秀学生。新加坡国立大学致力于培养具有创新思维、领导力和社会责任感的全面发展的学生；</w:t>
      </w:r>
    </w:p>
    <w:p w14:paraId="178CA258"/>
    <w:p w14:paraId="091BEC7D">
      <w:pPr>
        <w:pStyle w:val="22"/>
        <w:numPr>
          <w:ilvl w:val="0"/>
          <w:numId w:val="3"/>
        </w:numPr>
        <w:ind w:leftChars="0"/>
        <w:rPr>
          <w:b/>
          <w:bCs/>
        </w:rPr>
      </w:pPr>
      <w:r>
        <w:rPr>
          <w:rFonts w:hint="eastAsia"/>
          <w:b/>
          <w:bCs/>
        </w:rPr>
        <w:t>项目详情</w:t>
      </w:r>
    </w:p>
    <w:p w14:paraId="5A30BED5">
      <w:r>
        <w:rPr>
          <w:rFonts w:cs="Calibri"/>
        </w:rPr>
        <w:t>【</w:t>
      </w:r>
      <w:r>
        <w:rPr>
          <w:rFonts w:hint="eastAsia"/>
          <w:lang w:val="en-US" w:eastAsia="zh-CN"/>
        </w:rPr>
        <w:t>项目模块说明</w:t>
      </w:r>
      <w:r>
        <w:rPr>
          <w:rFonts w:cs="Calibri"/>
        </w:rPr>
        <w:t>】</w:t>
      </w:r>
    </w:p>
    <w:p w14:paraId="503FD95F">
      <w:pPr>
        <w:ind w:firstLine="420" w:firstLineChars="200"/>
        <w:rPr>
          <w:rFonts w:hint="eastAsia" w:cs="Calibri"/>
          <w:lang w:val="en-US" w:eastAsia="zh-CN"/>
        </w:rPr>
      </w:pPr>
      <w:r>
        <w:rPr>
          <w:rFonts w:hint="eastAsia" w:cs="Calibri"/>
        </w:rPr>
        <w:t>本项目</w:t>
      </w:r>
      <w:r>
        <w:rPr>
          <w:rFonts w:hint="eastAsia" w:cs="Calibri"/>
          <w:lang w:val="en-US" w:eastAsia="zh-CN"/>
        </w:rPr>
        <w:t>时长</w:t>
      </w:r>
      <w:r>
        <w:rPr>
          <w:rFonts w:hint="eastAsia" w:cs="Calibri"/>
        </w:rPr>
        <w:t>8天</w:t>
      </w:r>
      <w:r>
        <w:rPr>
          <w:rFonts w:hint="eastAsia" w:cs="Calibri"/>
          <w:lang w:val="en-US" w:eastAsia="zh-CN"/>
        </w:rPr>
        <w:t>7晚</w:t>
      </w:r>
      <w:r>
        <w:rPr>
          <w:rFonts w:hint="eastAsia" w:cs="Calibri"/>
        </w:rPr>
        <w:t>，</w:t>
      </w:r>
      <w:r>
        <w:rPr>
          <w:rFonts w:hint="eastAsia" w:cs="Calibri"/>
          <w:lang w:val="en-US" w:eastAsia="zh-CN"/>
        </w:rPr>
        <w:t>由两部分组成：</w:t>
      </w:r>
    </w:p>
    <w:p w14:paraId="0AFB5AF2">
      <w:pPr>
        <w:numPr>
          <w:ilvl w:val="0"/>
          <w:numId w:val="4"/>
        </w:numPr>
        <w:ind w:left="420" w:leftChars="0" w:hanging="420" w:firstLineChars="0"/>
        <w:rPr>
          <w:rFonts w:hint="eastAsia"/>
        </w:rPr>
      </w:pPr>
      <w:r>
        <w:rPr>
          <w:rFonts w:hint="eastAsia" w:cs="Calibri"/>
        </w:rPr>
        <w:t>学术部分:</w:t>
      </w:r>
      <w:r>
        <w:rPr>
          <w:rFonts w:hint="eastAsia" w:cs="Calibri"/>
          <w:lang w:val="en-US" w:eastAsia="zh-CN"/>
        </w:rPr>
        <w:t xml:space="preserve"> </w:t>
      </w:r>
      <w:r>
        <w:rPr>
          <w:rFonts w:hint="eastAsia" w:cs="Calibri"/>
          <w:lang w:eastAsia="zh-CN"/>
        </w:rPr>
        <w:t>新加坡高校访学项目</w:t>
      </w:r>
      <w:r>
        <w:rPr>
          <w:rFonts w:hint="eastAsia"/>
        </w:rPr>
        <w:t>教学时间总共</w:t>
      </w:r>
      <w:r>
        <w:rPr>
          <w:rFonts w:hint="eastAsia"/>
          <w:lang w:val="en-US" w:eastAsia="zh-CN"/>
        </w:rPr>
        <w:t>15小时</w:t>
      </w:r>
      <w:r>
        <w:rPr>
          <w:rFonts w:hint="eastAsia"/>
        </w:rPr>
        <w:t>，授课时间预计为周一至周五上午或下午（以校方实际安排的课表为准）</w:t>
      </w:r>
      <w:r>
        <w:rPr>
          <w:rFonts w:hint="eastAsia"/>
          <w:lang w:eastAsia="zh-CN"/>
        </w:rPr>
        <w:t>，</w:t>
      </w:r>
      <w:r>
        <w:rPr>
          <w:rFonts w:hint="eastAsia"/>
          <w:lang w:val="en-US" w:eastAsia="zh-CN"/>
        </w:rPr>
        <w:t>由新加坡国立大学SCALE &amp; LAW提供</w:t>
      </w:r>
      <w:r>
        <w:rPr>
          <w:rFonts w:hint="eastAsia"/>
        </w:rPr>
        <w:t>。</w:t>
      </w:r>
    </w:p>
    <w:p w14:paraId="0FDFD60E">
      <w:pPr>
        <w:numPr>
          <w:ilvl w:val="0"/>
          <w:numId w:val="4"/>
        </w:numPr>
        <w:ind w:left="420" w:leftChars="0" w:hanging="420" w:firstLineChars="0"/>
        <w:rPr>
          <w:rFonts w:hint="eastAsia"/>
        </w:rPr>
      </w:pPr>
      <w:r>
        <w:rPr>
          <w:rFonts w:hint="eastAsia"/>
        </w:rPr>
        <w:t>人文参访与社会文化活动</w:t>
      </w:r>
      <w:r>
        <w:rPr>
          <w:rFonts w:hint="eastAsia"/>
          <w:lang w:val="en-US" w:eastAsia="zh-CN"/>
        </w:rPr>
        <w:t>部分</w:t>
      </w:r>
      <w:r>
        <w:rPr>
          <w:rFonts w:hint="eastAsia"/>
          <w:lang w:eastAsia="zh-CN"/>
        </w:rPr>
        <w:t>：</w:t>
      </w:r>
      <w:r>
        <w:rPr>
          <w:rFonts w:hint="eastAsia"/>
        </w:rPr>
        <w:t>项目</w:t>
      </w:r>
      <w:r>
        <w:rPr>
          <w:rFonts w:hint="eastAsia"/>
          <w:lang w:val="en-US" w:eastAsia="zh-CN"/>
        </w:rPr>
        <w:t>组织方全美国际</w:t>
      </w:r>
      <w:r>
        <w:rPr>
          <w:rFonts w:hint="eastAsia"/>
        </w:rPr>
        <w:t>将安排人文参访与社会文化活动环节</w:t>
      </w:r>
      <w:r>
        <w:rPr>
          <w:rFonts w:hint="eastAsia"/>
          <w:lang w:eastAsia="zh-CN"/>
        </w:rPr>
        <w:t>，</w:t>
      </w:r>
      <w:r>
        <w:rPr>
          <w:rFonts w:hint="eastAsia"/>
          <w:lang w:val="en-US" w:eastAsia="zh-CN"/>
        </w:rPr>
        <w:t>包含1次校园参访，1次文化参访，1次企业参访/机构主题参访</w:t>
      </w:r>
      <w:r>
        <w:rPr>
          <w:rFonts w:hint="eastAsia"/>
        </w:rPr>
        <w:t>。</w:t>
      </w:r>
    </w:p>
    <w:p w14:paraId="062D430C">
      <w:pPr>
        <w:widowControl w:val="0"/>
        <w:numPr>
          <w:ilvl w:val="0"/>
          <w:numId w:val="0"/>
        </w:numPr>
        <w:spacing w:line="360" w:lineRule="auto"/>
        <w:rPr>
          <w:rFonts w:hint="eastAsia"/>
        </w:rPr>
      </w:pPr>
    </w:p>
    <w:p w14:paraId="4EC8DED9">
      <w:pPr>
        <w:rPr>
          <w:rFonts w:hint="eastAsia"/>
          <w:lang w:eastAsia="zh-CN"/>
        </w:rPr>
      </w:pPr>
      <w:r>
        <w:t>【</w:t>
      </w:r>
      <w:r>
        <w:rPr>
          <w:rFonts w:hint="eastAsia" w:eastAsiaTheme="majorEastAsia" w:cstheme="minorHAnsi"/>
          <w:kern w:val="0"/>
        </w:rPr>
        <w:t>项目</w:t>
      </w:r>
      <w:r>
        <w:rPr>
          <w:rFonts w:hint="eastAsia"/>
        </w:rPr>
        <w:t>日期</w:t>
      </w:r>
      <w:r>
        <w:t>】</w:t>
      </w:r>
      <w:r>
        <w:rPr>
          <w:rFonts w:hint="eastAsia"/>
        </w:rPr>
        <w:t xml:space="preserve">  2026年8月2日-8月9日 （项目总时长为期8天）（项目日期仅为参考，实际上课日期以国大最终实际安排为准）</w:t>
      </w:r>
    </w:p>
    <w:p w14:paraId="0B1BF0B3">
      <w:pPr>
        <w:rPr>
          <w:rFonts w:hint="eastAsia"/>
          <w:lang w:eastAsia="zh-CN"/>
        </w:rPr>
      </w:pPr>
    </w:p>
    <w:p w14:paraId="7621AE83">
      <w:pPr>
        <w:rPr>
          <w:rFonts w:hint="eastAsia"/>
        </w:rPr>
      </w:pPr>
      <w:r>
        <w:rPr>
          <w:rFonts w:hint="eastAsia"/>
          <w:lang w:eastAsia="zh-CN"/>
        </w:rPr>
        <w:t>【</w:t>
      </w:r>
      <w:r>
        <w:rPr>
          <w:rFonts w:hint="eastAsia"/>
          <w:lang w:val="en-US" w:eastAsia="zh-CN"/>
        </w:rPr>
        <w:t>参考日程</w:t>
      </w:r>
      <w:r>
        <w:rPr>
          <w:rFonts w:hint="eastAsia"/>
          <w:lang w:eastAsia="zh-CN"/>
        </w:rPr>
        <w:t>】</w:t>
      </w:r>
      <w:r>
        <w:rPr>
          <w:rFonts w:hint="eastAsia"/>
        </w:rPr>
        <w:t xml:space="preserve"> </w:t>
      </w:r>
      <w:bookmarkStart w:id="1" w:name="_Hlk129190440"/>
    </w:p>
    <w:p w14:paraId="21693A7B">
      <w:pPr>
        <w:pStyle w:val="26"/>
        <w:numPr>
          <w:ilvl w:val="0"/>
          <w:numId w:val="4"/>
        </w:numPr>
        <w:ind w:left="420" w:leftChars="0" w:hanging="420" w:firstLineChars="0"/>
        <w:rPr>
          <w:sz w:val="21"/>
          <w:szCs w:val="21"/>
          <w:u w:val="none"/>
        </w:rPr>
      </w:pPr>
      <w:r>
        <w:rPr>
          <w:rFonts w:hint="eastAsia"/>
          <w:sz w:val="21"/>
          <w:szCs w:val="21"/>
          <w:u w:val="none"/>
        </w:rPr>
        <w:t>以</w:t>
      </w:r>
      <w:r>
        <w:rPr>
          <w:rFonts w:hint="eastAsia"/>
          <w:sz w:val="21"/>
          <w:szCs w:val="21"/>
          <w:u w:val="none"/>
          <w:lang w:val="en-US" w:eastAsia="zh-CN"/>
        </w:rPr>
        <w:t>下</w:t>
      </w:r>
      <w:r>
        <w:rPr>
          <w:rFonts w:hint="eastAsia"/>
          <w:sz w:val="21"/>
          <w:szCs w:val="21"/>
          <w:u w:val="none"/>
        </w:rPr>
        <w:t>行程仅为参考，实际行程以最终实际安排为准</w:t>
      </w:r>
    </w:p>
    <w:p w14:paraId="75EB5F92">
      <w:pPr>
        <w:pStyle w:val="26"/>
        <w:numPr>
          <w:ilvl w:val="0"/>
          <w:numId w:val="4"/>
        </w:numPr>
        <w:ind w:left="420" w:leftChars="0" w:hanging="420" w:firstLineChars="0"/>
        <w:rPr>
          <w:sz w:val="21"/>
          <w:szCs w:val="21"/>
          <w:u w:val="none"/>
        </w:rPr>
      </w:pPr>
      <w:r>
        <w:rPr>
          <w:rFonts w:hint="eastAsia"/>
          <w:sz w:val="21"/>
          <w:szCs w:val="21"/>
          <w:u w:val="none"/>
          <w:lang w:val="en-US" w:eastAsia="zh-CN"/>
        </w:rPr>
        <w:t>日程中仅蓝色底纹部分为学术部分，即新加坡高校访学项目15小时教学部分</w:t>
      </w:r>
    </w:p>
    <w:p w14:paraId="261D1163">
      <w:pPr>
        <w:pStyle w:val="26"/>
        <w:numPr>
          <w:ilvl w:val="0"/>
          <w:numId w:val="4"/>
        </w:numPr>
        <w:ind w:left="420" w:leftChars="0" w:hanging="420" w:firstLineChars="0"/>
        <w:rPr>
          <w:rFonts w:hint="eastAsia"/>
        </w:rPr>
      </w:pPr>
      <w:r>
        <w:rPr>
          <w:rFonts w:hint="eastAsia"/>
          <w:sz w:val="21"/>
          <w:szCs w:val="21"/>
          <w:u w:val="none"/>
          <w:lang w:val="en-US" w:eastAsia="zh-CN"/>
        </w:rPr>
        <w:t>其他项目期间的组织安排由项目组织方全美国际提供</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740"/>
        <w:gridCol w:w="6991"/>
      </w:tblGrid>
      <w:tr w14:paraId="582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tcPr>
          <w:p w14:paraId="030CC25D">
            <w:pPr>
              <w:keepNext w:val="0"/>
              <w:keepLines w:val="0"/>
              <w:suppressLineNumbers w:val="0"/>
              <w:spacing w:before="0" w:beforeAutospacing="0" w:after="0" w:afterAutospacing="0"/>
              <w:ind w:left="0" w:right="0"/>
              <w:jc w:val="center"/>
              <w:rPr>
                <w:rFonts w:hint="default" w:asciiTheme="minorHAnsi" w:hAnsiTheme="minorHAnsi" w:eastAsiaTheme="majorEastAsia" w:cstheme="minorHAnsi"/>
                <w:b/>
                <w:bCs/>
              </w:rPr>
            </w:pPr>
            <w:r>
              <w:rPr>
                <w:rFonts w:hint="eastAsia"/>
                <w:b/>
                <w:bCs/>
              </w:rPr>
              <w:t>日期</w:t>
            </w:r>
          </w:p>
        </w:tc>
        <w:tc>
          <w:tcPr>
            <w:tcW w:w="434" w:type="pct"/>
          </w:tcPr>
          <w:p w14:paraId="7F1276A5">
            <w:pPr>
              <w:keepNext w:val="0"/>
              <w:keepLines w:val="0"/>
              <w:suppressLineNumbers w:val="0"/>
              <w:spacing w:before="0" w:beforeAutospacing="0" w:after="0" w:afterAutospacing="0"/>
              <w:ind w:left="0" w:right="0"/>
              <w:jc w:val="center"/>
              <w:rPr>
                <w:rFonts w:hint="default"/>
                <w:b/>
                <w:bCs/>
              </w:rPr>
            </w:pPr>
            <w:r>
              <w:rPr>
                <w:rFonts w:hint="eastAsia"/>
                <w:b/>
                <w:bCs/>
              </w:rPr>
              <w:t>时间</w:t>
            </w:r>
          </w:p>
        </w:tc>
        <w:tc>
          <w:tcPr>
            <w:tcW w:w="4102" w:type="pct"/>
          </w:tcPr>
          <w:p w14:paraId="0B28E8E9">
            <w:pPr>
              <w:keepNext w:val="0"/>
              <w:keepLines w:val="0"/>
              <w:suppressLineNumbers w:val="0"/>
              <w:spacing w:before="0" w:beforeAutospacing="0" w:after="0" w:afterAutospacing="0"/>
              <w:ind w:left="0" w:right="0"/>
              <w:jc w:val="center"/>
              <w:rPr>
                <w:rFonts w:hint="default" w:asciiTheme="minorHAnsi" w:hAnsiTheme="minorHAnsi" w:eastAsiaTheme="majorEastAsia" w:cstheme="minorHAnsi"/>
                <w:b/>
                <w:bCs/>
              </w:rPr>
            </w:pPr>
            <w:r>
              <w:rPr>
                <w:rFonts w:hint="eastAsia"/>
                <w:b/>
                <w:bCs/>
              </w:rPr>
              <w:t>日程安排</w:t>
            </w:r>
          </w:p>
        </w:tc>
      </w:tr>
      <w:tr w14:paraId="2AB9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tcPr>
          <w:p w14:paraId="282EFED0">
            <w:pPr>
              <w:keepNext w:val="0"/>
              <w:keepLines w:val="0"/>
              <w:suppressLineNumbers w:val="0"/>
              <w:spacing w:before="0" w:beforeAutospacing="0" w:after="0" w:afterAutospacing="0"/>
              <w:ind w:left="0" w:right="0"/>
              <w:jc w:val="both"/>
              <w:rPr>
                <w:rFonts w:hint="default"/>
              </w:rPr>
            </w:pPr>
            <w:r>
              <w:rPr>
                <w:rFonts w:hint="eastAsia"/>
              </w:rPr>
              <w:t>Day 1</w:t>
            </w:r>
          </w:p>
        </w:tc>
        <w:tc>
          <w:tcPr>
            <w:tcW w:w="434" w:type="pct"/>
          </w:tcPr>
          <w:p w14:paraId="6AD34D9D">
            <w:pPr>
              <w:keepNext w:val="0"/>
              <w:keepLines w:val="0"/>
              <w:suppressLineNumbers w:val="0"/>
              <w:spacing w:before="0" w:beforeAutospacing="0" w:after="0" w:afterAutospacing="0"/>
              <w:ind w:left="0" w:right="0"/>
              <w:jc w:val="both"/>
              <w:rPr>
                <w:rFonts w:hint="default"/>
              </w:rPr>
            </w:pPr>
            <w:r>
              <w:rPr>
                <w:rFonts w:hint="eastAsia"/>
              </w:rPr>
              <w:t>全天</w:t>
            </w:r>
          </w:p>
        </w:tc>
        <w:tc>
          <w:tcPr>
            <w:tcW w:w="4102" w:type="pct"/>
          </w:tcPr>
          <w:p w14:paraId="395AB882">
            <w:pPr>
              <w:keepNext w:val="0"/>
              <w:keepLines w:val="0"/>
              <w:suppressLineNumbers w:val="0"/>
              <w:spacing w:before="0" w:beforeAutospacing="0" w:after="0" w:afterAutospacing="0"/>
              <w:ind w:left="0" w:right="0"/>
              <w:jc w:val="both"/>
              <w:rPr>
                <w:rFonts w:hint="default"/>
              </w:rPr>
            </w:pPr>
            <w:r>
              <w:rPr>
                <w:rFonts w:hint="eastAsia"/>
              </w:rPr>
              <w:t>从国内出发，抵达新加坡</w:t>
            </w:r>
          </w:p>
        </w:tc>
      </w:tr>
      <w:tr w14:paraId="4EB1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restart"/>
          </w:tcPr>
          <w:p w14:paraId="7F9D4506">
            <w:pPr>
              <w:keepNext w:val="0"/>
              <w:keepLines w:val="0"/>
              <w:suppressLineNumbers w:val="0"/>
              <w:spacing w:before="0" w:beforeAutospacing="0" w:after="0" w:afterAutospacing="0"/>
              <w:ind w:left="0" w:right="0"/>
              <w:jc w:val="center"/>
              <w:rPr>
                <w:rFonts w:hint="eastAsia" w:eastAsia="宋体"/>
                <w:lang w:eastAsia="zh-CN"/>
              </w:rPr>
            </w:pPr>
            <w:r>
              <w:rPr>
                <w:rFonts w:hint="eastAsia"/>
              </w:rPr>
              <w:t xml:space="preserve">Day </w:t>
            </w:r>
            <w:r>
              <w:rPr>
                <w:rFonts w:hint="eastAsia"/>
                <w:lang w:val="en-US" w:eastAsia="zh-CN"/>
              </w:rPr>
              <w:t>2</w:t>
            </w:r>
          </w:p>
        </w:tc>
        <w:tc>
          <w:tcPr>
            <w:tcW w:w="434" w:type="pct"/>
            <w:shd w:val="clear" w:color="auto" w:fill="auto"/>
            <w:vAlign w:val="top"/>
          </w:tcPr>
          <w:p w14:paraId="19621CE9">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lang w:val="en-US" w:eastAsia="zh-CN"/>
              </w:rPr>
              <w:t>上</w:t>
            </w:r>
            <w:r>
              <w:rPr>
                <w:rFonts w:hint="eastAsia"/>
              </w:rPr>
              <w:t>午</w:t>
            </w:r>
          </w:p>
        </w:tc>
        <w:tc>
          <w:tcPr>
            <w:tcW w:w="4102" w:type="pct"/>
            <w:shd w:val="clear" w:color="auto" w:fill="auto"/>
            <w:vAlign w:val="top"/>
          </w:tcPr>
          <w:p w14:paraId="2C38C6F1">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ascii="Arial" w:hAnsi="Arial" w:cs="Arial"/>
                <w:spacing w:val="-1"/>
                <w:szCs w:val="21"/>
              </w:rPr>
              <w:t>Campus Tour 校园游览 熟悉校园环境、生活及交通设施</w:t>
            </w:r>
          </w:p>
        </w:tc>
      </w:tr>
      <w:tr w14:paraId="7214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continue"/>
          </w:tcPr>
          <w:p w14:paraId="1EEF16A6">
            <w:pPr>
              <w:keepNext w:val="0"/>
              <w:keepLines w:val="0"/>
              <w:suppressLineNumbers w:val="0"/>
              <w:spacing w:before="0" w:beforeAutospacing="0" w:after="0" w:afterAutospacing="0"/>
              <w:ind w:left="0" w:right="0"/>
              <w:jc w:val="both"/>
              <w:rPr>
                <w:rFonts w:hint="default"/>
              </w:rPr>
            </w:pPr>
          </w:p>
        </w:tc>
        <w:tc>
          <w:tcPr>
            <w:tcW w:w="434" w:type="pct"/>
          </w:tcPr>
          <w:p w14:paraId="38C3C1D7">
            <w:pPr>
              <w:keepNext w:val="0"/>
              <w:keepLines w:val="0"/>
              <w:suppressLineNumbers w:val="0"/>
              <w:spacing w:before="0" w:beforeAutospacing="0" w:after="0" w:afterAutospacing="0"/>
              <w:ind w:left="0" w:right="0"/>
              <w:jc w:val="both"/>
              <w:rPr>
                <w:rFonts w:hint="default"/>
              </w:rPr>
            </w:pPr>
            <w:r>
              <w:rPr>
                <w:rFonts w:hint="eastAsia"/>
                <w:lang w:val="en-US" w:eastAsia="zh-CN"/>
              </w:rPr>
              <w:t>下</w:t>
            </w:r>
            <w:r>
              <w:rPr>
                <w:rFonts w:hint="eastAsia"/>
              </w:rPr>
              <w:t>午</w:t>
            </w:r>
          </w:p>
        </w:tc>
        <w:tc>
          <w:tcPr>
            <w:tcW w:w="4102" w:type="pct"/>
            <w:shd w:val="clear" w:color="auto" w:fill="C7DAF1" w:themeFill="text2" w:themeFillTint="32"/>
          </w:tcPr>
          <w:p w14:paraId="1C1DFBD7">
            <w:pPr>
              <w:keepNext w:val="0"/>
              <w:keepLines w:val="0"/>
              <w:suppressLineNumbers w:val="0"/>
              <w:spacing w:before="0" w:beforeAutospacing="0" w:after="0" w:afterAutospacing="0"/>
              <w:ind w:left="0" w:right="0"/>
              <w:jc w:val="both"/>
              <w:rPr>
                <w:rFonts w:hint="default" w:eastAsia="宋体"/>
                <w:b/>
                <w:bCs/>
                <w:lang w:val="en-US" w:eastAsia="zh-CN"/>
              </w:rPr>
            </w:pPr>
            <w:r>
              <w:rPr>
                <w:rFonts w:hint="eastAsia" w:ascii="宋体" w:hAnsi="宋体" w:cs="宋体"/>
                <w:spacing w:val="-1"/>
                <w:szCs w:val="21"/>
              </w:rPr>
              <w:t>【专题讲座】</w:t>
            </w:r>
            <w:r>
              <w:rPr>
                <w:rFonts w:hint="eastAsia" w:ascii="宋体" w:hAnsi="宋体" w:cs="宋体"/>
                <w:b/>
                <w:bCs/>
                <w:spacing w:val="-1"/>
                <w:szCs w:val="21"/>
                <w:lang w:val="en-US" w:eastAsia="zh-CN"/>
              </w:rPr>
              <w:t>人工智能概论、决策和法律</w:t>
            </w:r>
          </w:p>
          <w:p w14:paraId="37B74460">
            <w:pPr>
              <w:keepNext w:val="0"/>
              <w:keepLines w:val="0"/>
              <w:suppressLineNumbers w:val="0"/>
              <w:spacing w:before="0" w:beforeAutospacing="0" w:after="0" w:afterAutospacing="0"/>
              <w:ind w:left="0" w:right="0"/>
              <w:jc w:val="both"/>
              <w:rPr>
                <w:rFonts w:hint="default"/>
              </w:rPr>
            </w:pPr>
            <w:r>
              <w:rPr>
                <w:rFonts w:hint="default"/>
                <w:lang w:val="en-US" w:eastAsia="zh-CN"/>
              </w:rPr>
              <w:t>Introduction to Artificial Intelligence, Decision-making and the Law</w:t>
            </w:r>
          </w:p>
          <w:p w14:paraId="22E011B7">
            <w:pPr>
              <w:keepNext w:val="0"/>
              <w:keepLines w:val="0"/>
              <w:widowControl/>
              <w:suppressLineNumbers w:val="0"/>
              <w:spacing w:before="0" w:beforeAutospacing="0" w:after="0" w:afterAutospacing="0"/>
              <w:ind w:left="0" w:right="0"/>
              <w:jc w:val="left"/>
              <w:rPr>
                <w:rFonts w:hint="eastAsia" w:eastAsia="宋体"/>
                <w:lang w:eastAsia="zh-CN"/>
              </w:rPr>
            </w:pPr>
            <w:r>
              <w:rPr>
                <w:rFonts w:hint="eastAsia" w:ascii="宋体" w:hAnsi="宋体" w:cs="宋体"/>
                <w:spacing w:val="-1"/>
                <w:szCs w:val="21"/>
                <w:lang w:val="en-US" w:eastAsia="zh-CN"/>
              </w:rPr>
              <w:t>主要内容：包括人工智能的定义和关键概念，机器模拟智能的方式，图灵测试，人工智能技术的概述、应用及关键技术概念，由人工智能引发的法律、哲学和伦理问题，法律在监管新兴技术中的作用，以及人工智能技术在教育、刑事司法、招聘等方面的应用案例研究。</w:t>
            </w:r>
          </w:p>
        </w:tc>
      </w:tr>
      <w:tr w14:paraId="18B9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restart"/>
          </w:tcPr>
          <w:p w14:paraId="19678225">
            <w:pPr>
              <w:keepNext w:val="0"/>
              <w:keepLines w:val="0"/>
              <w:suppressLineNumbers w:val="0"/>
              <w:spacing w:before="0" w:beforeAutospacing="0" w:after="0" w:afterAutospacing="0"/>
              <w:ind w:left="0" w:right="0"/>
              <w:jc w:val="both"/>
              <w:rPr>
                <w:rFonts w:hint="eastAsia" w:eastAsia="宋体"/>
                <w:lang w:eastAsia="zh-CN"/>
              </w:rPr>
            </w:pPr>
            <w:r>
              <w:rPr>
                <w:rFonts w:hint="eastAsia"/>
              </w:rPr>
              <w:t xml:space="preserve">Day </w:t>
            </w:r>
            <w:r>
              <w:rPr>
                <w:rFonts w:hint="eastAsia"/>
                <w:lang w:val="en-US" w:eastAsia="zh-CN"/>
              </w:rPr>
              <w:t>3</w:t>
            </w:r>
          </w:p>
        </w:tc>
        <w:tc>
          <w:tcPr>
            <w:tcW w:w="434" w:type="pct"/>
          </w:tcPr>
          <w:p w14:paraId="44451BFD">
            <w:pPr>
              <w:keepNext w:val="0"/>
              <w:keepLines w:val="0"/>
              <w:suppressLineNumbers w:val="0"/>
              <w:spacing w:before="0" w:beforeAutospacing="0" w:after="0" w:afterAutospacing="0"/>
              <w:ind w:left="0" w:right="0"/>
              <w:jc w:val="both"/>
              <w:rPr>
                <w:rFonts w:hint="eastAsia"/>
              </w:rPr>
            </w:pPr>
            <w:r>
              <w:rPr>
                <w:rFonts w:hint="eastAsia"/>
              </w:rPr>
              <w:t>上午</w:t>
            </w:r>
          </w:p>
        </w:tc>
        <w:tc>
          <w:tcPr>
            <w:tcW w:w="4102" w:type="pct"/>
          </w:tcPr>
          <w:p w14:paraId="664687A2">
            <w:pPr>
              <w:keepNext w:val="0"/>
              <w:keepLines w:val="0"/>
              <w:suppressLineNumbers w:val="0"/>
              <w:spacing w:before="0" w:beforeAutospacing="0" w:after="0" w:afterAutospacing="0"/>
              <w:ind w:left="0" w:right="0"/>
              <w:jc w:val="both"/>
              <w:rPr>
                <w:rFonts w:hint="eastAsia" w:ascii="宋体" w:hAnsi="宋体" w:eastAsia="宋体" w:cs="宋体"/>
                <w:b/>
                <w:bCs/>
                <w:szCs w:val="21"/>
                <w:lang w:eastAsia="zh-CN"/>
              </w:rPr>
            </w:pPr>
            <w:r>
              <w:rPr>
                <w:rFonts w:hint="eastAsia" w:ascii="宋体" w:hAnsi="宋体" w:cs="宋体"/>
                <w:b/>
                <w:bCs/>
                <w:szCs w:val="21"/>
              </w:rPr>
              <w:t>【</w:t>
            </w:r>
            <w:r>
              <w:rPr>
                <w:rFonts w:hint="eastAsia" w:ascii="宋体" w:hAnsi="宋体" w:cs="宋体"/>
                <w:b/>
                <w:bCs/>
                <w:szCs w:val="21"/>
                <w:lang w:val="en-US" w:eastAsia="zh-CN"/>
              </w:rPr>
              <w:t>社会</w:t>
            </w:r>
            <w:r>
              <w:rPr>
                <w:rFonts w:hint="eastAsia" w:ascii="宋体" w:hAnsi="宋体" w:cs="宋体"/>
                <w:b/>
                <w:bCs/>
                <w:szCs w:val="21"/>
              </w:rPr>
              <w:t>参访】新加坡城市展览馆</w:t>
            </w:r>
            <w:r>
              <w:rPr>
                <w:rFonts w:hint="eastAsia" w:ascii="宋体" w:hAnsi="宋体" w:cs="宋体"/>
                <w:b w:val="0"/>
                <w:bCs w:val="0"/>
                <w:szCs w:val="21"/>
                <w:lang w:eastAsia="zh-CN"/>
              </w:rPr>
              <w:t>（</w:t>
            </w:r>
            <w:r>
              <w:rPr>
                <w:rFonts w:hint="eastAsia" w:ascii="宋体" w:hAnsi="宋体" w:cs="宋体"/>
                <w:b w:val="0"/>
                <w:bCs w:val="0"/>
                <w:szCs w:val="21"/>
                <w:lang w:val="en-US" w:eastAsia="zh-CN"/>
              </w:rPr>
              <w:t>以实际安排为准</w:t>
            </w:r>
            <w:r>
              <w:rPr>
                <w:rFonts w:hint="eastAsia" w:ascii="宋体" w:hAnsi="宋体" w:cs="宋体"/>
                <w:b w:val="0"/>
                <w:bCs w:val="0"/>
                <w:szCs w:val="21"/>
                <w:lang w:eastAsia="zh-CN"/>
              </w:rPr>
              <w:t>）</w:t>
            </w:r>
          </w:p>
          <w:p w14:paraId="1B9427CE">
            <w:pPr>
              <w:keepNext w:val="0"/>
              <w:keepLines w:val="0"/>
              <w:widowControl/>
              <w:suppressLineNumbers w:val="0"/>
              <w:spacing w:before="0" w:beforeAutospacing="0" w:after="0" w:afterAutospacing="0"/>
              <w:ind w:left="0" w:right="0"/>
              <w:jc w:val="left"/>
              <w:rPr>
                <w:rFonts w:hint="eastAsia" w:ascii="宋体" w:hAnsi="宋体" w:cs="宋体"/>
                <w:spacing w:val="-1"/>
                <w:szCs w:val="21"/>
                <w:lang w:val="en-US" w:eastAsia="zh-CN"/>
              </w:rPr>
            </w:pPr>
            <w:r>
              <w:rPr>
                <w:rFonts w:hint="eastAsia"/>
                <w:lang w:eastAsia="zh-CN"/>
              </w:rPr>
              <w:t>新加坡市区重建局城市展览馆（URA City Gallery）是一个互动式展览中心，通过模型、多媒体展示和规划图，全面呈现新加坡的城市规划与发展历程，核心展品包括著名的中央区巨型建筑模型。</w:t>
            </w:r>
          </w:p>
        </w:tc>
      </w:tr>
      <w:tr w14:paraId="1611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continue"/>
          </w:tcPr>
          <w:p w14:paraId="5E2D7AEA">
            <w:pPr>
              <w:keepNext w:val="0"/>
              <w:keepLines w:val="0"/>
              <w:suppressLineNumbers w:val="0"/>
              <w:spacing w:before="0" w:beforeAutospacing="0" w:after="0" w:afterAutospacing="0"/>
              <w:ind w:left="0" w:right="0"/>
              <w:jc w:val="both"/>
              <w:rPr>
                <w:rFonts w:hint="default"/>
              </w:rPr>
            </w:pPr>
          </w:p>
        </w:tc>
        <w:tc>
          <w:tcPr>
            <w:tcW w:w="434" w:type="pct"/>
          </w:tcPr>
          <w:p w14:paraId="2279ECE8">
            <w:pPr>
              <w:keepNext w:val="0"/>
              <w:keepLines w:val="0"/>
              <w:suppressLineNumbers w:val="0"/>
              <w:spacing w:before="0" w:beforeAutospacing="0" w:after="0" w:afterAutospacing="0"/>
              <w:ind w:left="0" w:right="0"/>
              <w:jc w:val="both"/>
              <w:rPr>
                <w:rFonts w:hint="default"/>
              </w:rPr>
            </w:pPr>
            <w:r>
              <w:rPr>
                <w:rFonts w:hint="eastAsia"/>
              </w:rPr>
              <w:t>下午</w:t>
            </w:r>
          </w:p>
        </w:tc>
        <w:tc>
          <w:tcPr>
            <w:tcW w:w="4102" w:type="pct"/>
            <w:shd w:val="clear" w:color="auto" w:fill="C7DAF1" w:themeFill="text2" w:themeFillTint="32"/>
          </w:tcPr>
          <w:p w14:paraId="44E0BAA8">
            <w:pPr>
              <w:keepNext w:val="0"/>
              <w:keepLines w:val="0"/>
              <w:suppressLineNumbers w:val="0"/>
              <w:spacing w:before="0" w:beforeAutospacing="0" w:after="0" w:afterAutospacing="0"/>
              <w:ind w:left="0" w:right="0"/>
              <w:jc w:val="both"/>
              <w:rPr>
                <w:rFonts w:hint="default" w:eastAsia="宋体"/>
                <w:b/>
                <w:bCs/>
                <w:lang w:val="en-US" w:eastAsia="zh-CN"/>
              </w:rPr>
            </w:pPr>
            <w:r>
              <w:rPr>
                <w:rFonts w:hint="eastAsia" w:ascii="宋体" w:hAnsi="宋体" w:cs="宋体"/>
                <w:spacing w:val="-1"/>
                <w:szCs w:val="21"/>
              </w:rPr>
              <w:t>【专题讲座】</w:t>
            </w:r>
            <w:r>
              <w:rPr>
                <w:rFonts w:hint="eastAsia" w:ascii="宋体" w:hAnsi="宋体" w:cs="宋体"/>
                <w:b/>
                <w:bCs/>
                <w:spacing w:val="-1"/>
                <w:szCs w:val="21"/>
                <w:lang w:val="en-US" w:eastAsia="zh-CN"/>
              </w:rPr>
              <w:t>人工智能引发的问题和局限性</w:t>
            </w:r>
          </w:p>
          <w:p w14:paraId="19F3019E">
            <w:pPr>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Problems and limitations of Artificial Intelligence</w:t>
            </w:r>
          </w:p>
          <w:p w14:paraId="25B7417E">
            <w:pPr>
              <w:keepNext w:val="0"/>
              <w:keepLines w:val="0"/>
              <w:suppressLineNumbers w:val="0"/>
              <w:spacing w:before="0" w:beforeAutospacing="0" w:after="0" w:afterAutospacing="0"/>
              <w:ind w:left="0" w:right="0"/>
              <w:jc w:val="both"/>
              <w:rPr>
                <w:rFonts w:hint="default"/>
              </w:rPr>
            </w:pPr>
            <w:r>
              <w:rPr>
                <w:rFonts w:hint="eastAsia"/>
              </w:rPr>
              <w:t>主</w:t>
            </w:r>
            <w:r>
              <w:rPr>
                <w:rFonts w:hint="eastAsia" w:ascii="宋体" w:hAnsi="宋体" w:cs="宋体"/>
                <w:spacing w:val="-1"/>
                <w:szCs w:val="21"/>
                <w:lang w:val="en-US" w:eastAsia="zh-CN"/>
              </w:rPr>
              <w:t>要内容：围绕理解人工智能固有的局限性，包含存在偏见、缺乏通用智能、可解释性等问题，涉及数据与不确定性，探究人工智能系统 “黑箱” 问题即如何做出决策，阐述一旦广泛采用人工智能系统的拨动效应即难以逆转或修改的原因，以及探讨人工智能决策中在法律和伦理方面存在的偏见、歧视和公平等困境。</w:t>
            </w:r>
          </w:p>
        </w:tc>
      </w:tr>
      <w:tr w14:paraId="4FE8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restart"/>
          </w:tcPr>
          <w:p w14:paraId="0DC9F3C8">
            <w:pPr>
              <w:keepNext w:val="0"/>
              <w:keepLines w:val="0"/>
              <w:suppressLineNumbers w:val="0"/>
              <w:spacing w:before="0" w:beforeAutospacing="0" w:after="0" w:afterAutospacing="0"/>
              <w:ind w:left="0" w:right="0"/>
              <w:jc w:val="both"/>
              <w:rPr>
                <w:rFonts w:hint="eastAsia" w:eastAsia="宋体"/>
                <w:lang w:eastAsia="zh-CN"/>
              </w:rPr>
            </w:pPr>
            <w:r>
              <w:rPr>
                <w:rFonts w:hint="eastAsia"/>
              </w:rPr>
              <w:t xml:space="preserve">Day </w:t>
            </w:r>
            <w:r>
              <w:rPr>
                <w:rFonts w:hint="eastAsia"/>
                <w:lang w:val="en-US" w:eastAsia="zh-CN"/>
              </w:rPr>
              <w:t>4</w:t>
            </w:r>
          </w:p>
        </w:tc>
        <w:tc>
          <w:tcPr>
            <w:tcW w:w="434" w:type="pct"/>
          </w:tcPr>
          <w:p w14:paraId="28015F34">
            <w:pPr>
              <w:keepNext w:val="0"/>
              <w:keepLines w:val="0"/>
              <w:suppressLineNumbers w:val="0"/>
              <w:spacing w:before="0" w:beforeAutospacing="0" w:after="0" w:afterAutospacing="0"/>
              <w:ind w:left="0" w:right="0"/>
              <w:jc w:val="both"/>
              <w:rPr>
                <w:rFonts w:hint="default" w:eastAsia="宋体"/>
                <w:lang w:val="en-US" w:eastAsia="zh-CN"/>
              </w:rPr>
            </w:pPr>
            <w:r>
              <w:rPr>
                <w:rFonts w:hint="eastAsia"/>
                <w:lang w:val="en-US" w:eastAsia="zh-CN"/>
              </w:rPr>
              <w:t>上午</w:t>
            </w:r>
          </w:p>
        </w:tc>
        <w:tc>
          <w:tcPr>
            <w:tcW w:w="4102" w:type="pct"/>
          </w:tcPr>
          <w:p w14:paraId="78C04F95">
            <w:pPr>
              <w:keepNext w:val="0"/>
              <w:keepLines w:val="0"/>
              <w:suppressLineNumbers w:val="0"/>
              <w:spacing w:before="0" w:beforeAutospacing="0" w:after="0" w:afterAutospacing="0"/>
              <w:ind w:left="0" w:right="0"/>
              <w:jc w:val="both"/>
              <w:rPr>
                <w:rFonts w:hint="eastAsia"/>
                <w:b/>
                <w:bCs/>
                <w:lang w:val="en-US" w:eastAsia="zh-CN"/>
              </w:rPr>
            </w:pPr>
            <w:r>
              <w:rPr>
                <w:rFonts w:hint="eastAsia"/>
                <w:b/>
                <w:bCs/>
              </w:rPr>
              <w:t>【</w:t>
            </w:r>
            <w:r>
              <w:rPr>
                <w:rFonts w:hint="eastAsia"/>
                <w:b/>
                <w:bCs/>
                <w:lang w:val="en-US" w:eastAsia="zh-CN"/>
              </w:rPr>
              <w:t>机构</w:t>
            </w:r>
            <w:r>
              <w:rPr>
                <w:rFonts w:hint="eastAsia"/>
                <w:b/>
                <w:bCs/>
              </w:rPr>
              <w:t>参访】</w:t>
            </w:r>
            <w:r>
              <w:rPr>
                <w:rFonts w:hint="eastAsia"/>
                <w:b/>
                <w:bCs/>
                <w:lang w:val="en-US" w:eastAsia="zh-CN"/>
              </w:rPr>
              <w:t>高等法院</w:t>
            </w:r>
            <w:r>
              <w:rPr>
                <w:rFonts w:hint="eastAsia"/>
                <w:b w:val="0"/>
                <w:bCs w:val="0"/>
                <w:lang w:val="en-US" w:eastAsia="zh-CN"/>
              </w:rPr>
              <w:t>（以实际参访为准）</w:t>
            </w:r>
          </w:p>
          <w:p w14:paraId="144670F7">
            <w:pPr>
              <w:keepNext w:val="0"/>
              <w:keepLines w:val="0"/>
              <w:suppressLineNumbers w:val="0"/>
              <w:spacing w:before="0" w:beforeAutospacing="0" w:after="0" w:afterAutospacing="0"/>
              <w:ind w:left="0" w:right="0"/>
              <w:jc w:val="both"/>
              <w:rPr>
                <w:rFonts w:hint="eastAsia"/>
              </w:rPr>
            </w:pPr>
            <w:r>
              <w:rPr>
                <w:rFonts w:hint="default"/>
                <w:lang w:val="en-US" w:eastAsia="zh-CN"/>
              </w:rPr>
              <w:t>沉浸式参观司法遗产馆（Judicial Heritage Gallery），深入了解新加坡司法体系的发展脉络</w:t>
            </w:r>
            <w:r>
              <w:rPr>
                <w:rFonts w:hint="eastAsia"/>
                <w:lang w:val="en-US" w:eastAsia="zh-CN"/>
              </w:rPr>
              <w:t>。还有机会旁听庭审，亲身观摩了新加坡法官与律师在法庭上的专业交锋与严谨辩论。</w:t>
            </w:r>
          </w:p>
        </w:tc>
      </w:tr>
      <w:tr w14:paraId="3E13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continue"/>
          </w:tcPr>
          <w:p w14:paraId="3CF4F586">
            <w:pPr>
              <w:keepNext w:val="0"/>
              <w:keepLines w:val="0"/>
              <w:suppressLineNumbers w:val="0"/>
              <w:spacing w:before="0" w:beforeAutospacing="0" w:after="0" w:afterAutospacing="0"/>
              <w:ind w:left="0" w:right="0"/>
              <w:jc w:val="both"/>
              <w:rPr>
                <w:rFonts w:hint="default"/>
              </w:rPr>
            </w:pPr>
          </w:p>
        </w:tc>
        <w:tc>
          <w:tcPr>
            <w:tcW w:w="434" w:type="pct"/>
          </w:tcPr>
          <w:p w14:paraId="4BCDF2D1">
            <w:pPr>
              <w:keepNext w:val="0"/>
              <w:keepLines w:val="0"/>
              <w:suppressLineNumbers w:val="0"/>
              <w:spacing w:before="0" w:beforeAutospacing="0" w:after="0" w:afterAutospacing="0"/>
              <w:ind w:left="0" w:right="0"/>
              <w:jc w:val="both"/>
              <w:rPr>
                <w:rFonts w:hint="default"/>
              </w:rPr>
            </w:pPr>
            <w:r>
              <w:rPr>
                <w:rFonts w:hint="eastAsia"/>
                <w:lang w:val="en-US" w:eastAsia="zh-CN"/>
              </w:rPr>
              <w:t>下</w:t>
            </w:r>
            <w:r>
              <w:rPr>
                <w:rFonts w:hint="eastAsia"/>
              </w:rPr>
              <w:t>午</w:t>
            </w:r>
          </w:p>
        </w:tc>
        <w:tc>
          <w:tcPr>
            <w:tcW w:w="4102" w:type="pct"/>
            <w:shd w:val="clear" w:color="auto" w:fill="C7DAF1" w:themeFill="text2" w:themeFillTint="32"/>
          </w:tcPr>
          <w:p w14:paraId="767C8BD1">
            <w:pPr>
              <w:keepNext w:val="0"/>
              <w:keepLines w:val="0"/>
              <w:suppressLineNumbers w:val="0"/>
              <w:spacing w:before="0" w:beforeAutospacing="0" w:after="0" w:afterAutospacing="0"/>
              <w:ind w:left="0" w:right="0"/>
              <w:jc w:val="both"/>
              <w:rPr>
                <w:rFonts w:hint="default" w:eastAsia="宋体"/>
                <w:b/>
                <w:bCs/>
                <w:lang w:val="en-US" w:eastAsia="zh-CN"/>
              </w:rPr>
            </w:pPr>
            <w:r>
              <w:rPr>
                <w:rFonts w:hint="eastAsia" w:ascii="宋体" w:hAnsi="宋体" w:cs="宋体"/>
                <w:spacing w:val="-1"/>
                <w:szCs w:val="21"/>
              </w:rPr>
              <w:t>【专题讲座】</w:t>
            </w:r>
            <w:r>
              <w:rPr>
                <w:rFonts w:hint="eastAsia" w:ascii="宋体" w:hAnsi="宋体" w:cs="宋体"/>
                <w:b/>
                <w:bCs/>
                <w:spacing w:val="-1"/>
                <w:szCs w:val="21"/>
                <w:lang w:val="en-US" w:eastAsia="zh-CN"/>
              </w:rPr>
              <w:t>人工智能法律规制的关键问题与应对策略</w:t>
            </w:r>
          </w:p>
          <w:p w14:paraId="4F442F22">
            <w:pPr>
              <w:keepNext w:val="0"/>
              <w:keepLines w:val="0"/>
              <w:suppressLineNumbers w:val="0"/>
              <w:spacing w:before="0" w:beforeAutospacing="0" w:after="0" w:afterAutospacing="0"/>
              <w:ind w:left="0" w:right="0"/>
              <w:jc w:val="both"/>
              <w:rPr>
                <w:rFonts w:hint="default" w:eastAsia="宋体"/>
                <w:lang w:val="en-US" w:eastAsia="zh-CN"/>
              </w:rPr>
            </w:pPr>
            <w:r>
              <w:rPr>
                <w:rFonts w:hint="eastAsia"/>
                <w:lang w:val="en-US" w:eastAsia="zh-CN"/>
              </w:rPr>
              <w:t>Legal responses to problems posed by Artificial Intelligence</w:t>
            </w:r>
          </w:p>
          <w:p w14:paraId="6AF108DB">
            <w:pPr>
              <w:keepNext w:val="0"/>
              <w:keepLines w:val="0"/>
              <w:suppressLineNumbers w:val="0"/>
              <w:spacing w:before="0" w:beforeAutospacing="0" w:after="0" w:afterAutospacing="0"/>
              <w:ind w:left="0" w:right="0"/>
              <w:jc w:val="both"/>
              <w:rPr>
                <w:rFonts w:hint="eastAsia" w:ascii="宋体" w:hAnsi="宋体" w:cs="宋体"/>
                <w:szCs w:val="21"/>
              </w:rPr>
            </w:pPr>
            <w:r>
              <w:rPr>
                <w:rFonts w:hint="eastAsia"/>
              </w:rPr>
              <w:t>主要内容：围绕法律在新兴技术监管中的作用展开，探讨如何平衡创新和技术发展与法律权利，阐述人工智能时代数据的重要性，介绍全球法律框架（如 GDPR、欧盟人工智能法案等）及布鲁塞尔（加利福尼亚）效应，</w:t>
            </w:r>
            <w:r>
              <w:rPr>
                <w:rFonts w:hint="eastAsia"/>
                <w:lang w:val="en-US" w:eastAsia="zh-CN"/>
              </w:rPr>
              <w:t>同时还</w:t>
            </w:r>
            <w:r>
              <w:rPr>
                <w:rFonts w:hint="eastAsia"/>
              </w:rPr>
              <w:t>涉及人工智能决策的责任问题。</w:t>
            </w:r>
          </w:p>
        </w:tc>
      </w:tr>
      <w:tr w14:paraId="7BDF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restart"/>
          </w:tcPr>
          <w:p w14:paraId="79B50FF3">
            <w:pPr>
              <w:keepNext w:val="0"/>
              <w:keepLines w:val="0"/>
              <w:suppressLineNumbers w:val="0"/>
              <w:spacing w:before="0" w:beforeAutospacing="0" w:after="0" w:afterAutospacing="0"/>
              <w:ind w:left="0" w:right="0"/>
              <w:jc w:val="both"/>
              <w:rPr>
                <w:rFonts w:hint="eastAsia" w:eastAsia="宋体"/>
                <w:lang w:eastAsia="zh-CN"/>
              </w:rPr>
            </w:pPr>
            <w:r>
              <w:rPr>
                <w:rFonts w:hint="eastAsia"/>
              </w:rPr>
              <w:t xml:space="preserve">Day </w:t>
            </w:r>
            <w:r>
              <w:rPr>
                <w:rFonts w:hint="eastAsia"/>
                <w:lang w:val="en-US" w:eastAsia="zh-CN"/>
              </w:rPr>
              <w:t>5</w:t>
            </w:r>
          </w:p>
        </w:tc>
        <w:tc>
          <w:tcPr>
            <w:tcW w:w="434" w:type="pct"/>
          </w:tcPr>
          <w:p w14:paraId="556C169C">
            <w:pPr>
              <w:keepNext w:val="0"/>
              <w:keepLines w:val="0"/>
              <w:suppressLineNumbers w:val="0"/>
              <w:spacing w:before="0" w:beforeAutospacing="0" w:after="0" w:afterAutospacing="0"/>
              <w:ind w:left="0" w:right="0"/>
              <w:jc w:val="both"/>
              <w:rPr>
                <w:rFonts w:hint="eastAsia"/>
              </w:rPr>
            </w:pPr>
            <w:r>
              <w:rPr>
                <w:rFonts w:hint="eastAsia"/>
              </w:rPr>
              <w:t>上午</w:t>
            </w:r>
          </w:p>
        </w:tc>
        <w:tc>
          <w:tcPr>
            <w:tcW w:w="4102" w:type="pct"/>
          </w:tcPr>
          <w:p w14:paraId="12B08752">
            <w:pPr>
              <w:keepNext w:val="0"/>
              <w:keepLines w:val="0"/>
              <w:suppressLineNumbers w:val="0"/>
              <w:spacing w:before="0" w:beforeAutospacing="0" w:after="0" w:afterAutospacing="0"/>
              <w:ind w:left="416" w:right="0" w:hanging="420" w:hangingChars="200"/>
              <w:jc w:val="both"/>
              <w:rPr>
                <w:rFonts w:hint="default"/>
                <w:lang w:val="en-US" w:eastAsia="zh-CN"/>
              </w:rPr>
            </w:pPr>
            <w:r>
              <w:rPr>
                <w:rFonts w:hint="eastAsia"/>
                <w:b w:val="0"/>
                <w:bCs w:val="0"/>
                <w:lang w:val="en-US" w:eastAsia="zh-CN"/>
              </w:rPr>
              <w:t>结业演讲准备</w:t>
            </w:r>
          </w:p>
        </w:tc>
      </w:tr>
      <w:tr w14:paraId="6782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continue"/>
          </w:tcPr>
          <w:p w14:paraId="70DBB8F5">
            <w:pPr>
              <w:keepNext w:val="0"/>
              <w:keepLines w:val="0"/>
              <w:suppressLineNumbers w:val="0"/>
              <w:spacing w:before="0" w:beforeAutospacing="0" w:after="0" w:afterAutospacing="0"/>
              <w:ind w:left="0" w:right="0"/>
              <w:jc w:val="both"/>
              <w:rPr>
                <w:rFonts w:hint="default"/>
              </w:rPr>
            </w:pPr>
          </w:p>
        </w:tc>
        <w:tc>
          <w:tcPr>
            <w:tcW w:w="434" w:type="pct"/>
          </w:tcPr>
          <w:p w14:paraId="337A627F">
            <w:pPr>
              <w:keepNext w:val="0"/>
              <w:keepLines w:val="0"/>
              <w:suppressLineNumbers w:val="0"/>
              <w:spacing w:before="0" w:beforeAutospacing="0" w:after="0" w:afterAutospacing="0"/>
              <w:ind w:left="0" w:right="0"/>
              <w:jc w:val="both"/>
              <w:rPr>
                <w:rFonts w:hint="default"/>
              </w:rPr>
            </w:pPr>
            <w:r>
              <w:rPr>
                <w:rFonts w:hint="eastAsia"/>
              </w:rPr>
              <w:t>下午</w:t>
            </w:r>
          </w:p>
        </w:tc>
        <w:tc>
          <w:tcPr>
            <w:tcW w:w="4102" w:type="pct"/>
            <w:shd w:val="clear" w:color="auto" w:fill="C7DAF1" w:themeFill="text2" w:themeFillTint="32"/>
          </w:tcPr>
          <w:p w14:paraId="56E1FCDF">
            <w:pPr>
              <w:keepNext w:val="0"/>
              <w:keepLines w:val="0"/>
              <w:suppressLineNumbers w:val="0"/>
              <w:spacing w:before="0" w:beforeAutospacing="0" w:after="0" w:afterAutospacing="0"/>
              <w:ind w:left="0" w:right="0"/>
              <w:jc w:val="both"/>
              <w:rPr>
                <w:rFonts w:hint="default" w:eastAsia="宋体"/>
                <w:b/>
                <w:bCs/>
                <w:lang w:val="en-US" w:eastAsia="zh-CN"/>
              </w:rPr>
            </w:pPr>
            <w:r>
              <w:rPr>
                <w:rFonts w:hint="eastAsia" w:ascii="宋体" w:hAnsi="宋体" w:cs="宋体"/>
                <w:spacing w:val="-1"/>
                <w:szCs w:val="21"/>
              </w:rPr>
              <w:t>【专题讲座】</w:t>
            </w:r>
            <w:r>
              <w:rPr>
                <w:rFonts w:hint="eastAsia" w:ascii="宋体" w:hAnsi="宋体" w:cs="宋体"/>
                <w:b/>
                <w:bCs/>
                <w:spacing w:val="-1"/>
                <w:szCs w:val="21"/>
                <w:lang w:val="en-US" w:eastAsia="zh-CN"/>
              </w:rPr>
              <w:t>人工智能时代的技术哲学思辨与法律规制路径</w:t>
            </w:r>
          </w:p>
          <w:p w14:paraId="7454EA35">
            <w:pPr>
              <w:keepNext w:val="0"/>
              <w:keepLines w:val="0"/>
              <w:suppressLineNumbers w:val="0"/>
              <w:spacing w:before="0" w:beforeAutospacing="0" w:after="0" w:afterAutospacing="0"/>
              <w:ind w:left="0" w:right="0"/>
              <w:jc w:val="both"/>
              <w:rPr>
                <w:rFonts w:hint="default" w:eastAsia="宋体"/>
                <w:lang w:val="en-US" w:eastAsia="zh-CN"/>
              </w:rPr>
            </w:pPr>
            <w:r>
              <w:rPr>
                <w:rFonts w:hint="default"/>
              </w:rPr>
              <w:t>T</w:t>
            </w:r>
            <w:r>
              <w:rPr>
                <w:rFonts w:hint="eastAsia"/>
                <w:lang w:val="en-US" w:eastAsia="zh-CN"/>
              </w:rPr>
              <w:t xml:space="preserve">echnophilosophy , Law and AI </w:t>
            </w:r>
          </w:p>
          <w:p w14:paraId="4A867B17">
            <w:pPr>
              <w:keepNext w:val="0"/>
              <w:keepLines w:val="0"/>
              <w:suppressLineNumbers w:val="0"/>
              <w:spacing w:before="0" w:beforeAutospacing="0" w:after="0" w:afterAutospacing="0"/>
              <w:ind w:left="0" w:right="0"/>
              <w:jc w:val="both"/>
              <w:rPr>
                <w:rFonts w:hint="default"/>
              </w:rPr>
            </w:pPr>
            <w:r>
              <w:rPr>
                <w:rFonts w:hint="eastAsia"/>
              </w:rPr>
              <w:t>主要内容：围绕理解 “数据主义” 的哲学含义，分析人工智能对工作意义、创造力和身份的影响，以及研究法律认识论下法律人工智能（如机器人法官）在法律和哲学方面存在的可能性及问题。</w:t>
            </w:r>
          </w:p>
        </w:tc>
      </w:tr>
      <w:tr w14:paraId="379C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restart"/>
          </w:tcPr>
          <w:p w14:paraId="174DB5A7">
            <w:pPr>
              <w:keepNext w:val="0"/>
              <w:keepLines w:val="0"/>
              <w:suppressLineNumbers w:val="0"/>
              <w:spacing w:before="0" w:beforeAutospacing="0" w:after="0" w:afterAutospacing="0"/>
              <w:ind w:left="0" w:right="0"/>
              <w:jc w:val="both"/>
              <w:rPr>
                <w:rFonts w:hint="eastAsia" w:eastAsia="宋体"/>
                <w:lang w:eastAsia="zh-CN"/>
              </w:rPr>
            </w:pPr>
            <w:r>
              <w:rPr>
                <w:rFonts w:hint="eastAsia"/>
              </w:rPr>
              <w:t xml:space="preserve">Day </w:t>
            </w:r>
            <w:r>
              <w:rPr>
                <w:rFonts w:hint="eastAsia"/>
                <w:lang w:val="en-US" w:eastAsia="zh-CN"/>
              </w:rPr>
              <w:t>6</w:t>
            </w:r>
          </w:p>
        </w:tc>
        <w:tc>
          <w:tcPr>
            <w:tcW w:w="434" w:type="pct"/>
            <w:shd w:val="clear" w:color="auto" w:fill="auto"/>
            <w:vAlign w:val="top"/>
          </w:tcPr>
          <w:p w14:paraId="74B65EFE">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rPr>
              <w:t>上午</w:t>
            </w:r>
          </w:p>
        </w:tc>
        <w:tc>
          <w:tcPr>
            <w:tcW w:w="4102" w:type="pct"/>
            <w:shd w:val="clear" w:color="auto" w:fill="auto"/>
            <w:vAlign w:val="top"/>
          </w:tcPr>
          <w:p w14:paraId="4EA884BE">
            <w:pPr>
              <w:pStyle w:val="22"/>
              <w:keepNext w:val="0"/>
              <w:keepLines w:val="0"/>
              <w:numPr>
                <w:ilvl w:val="0"/>
                <w:numId w:val="0"/>
              </w:numPr>
              <w:suppressLineNumbers w:val="0"/>
              <w:spacing w:before="0" w:beforeAutospacing="0" w:after="0" w:afterAutospacing="0"/>
              <w:jc w:val="both"/>
              <w:rPr>
                <w:rFonts w:hint="eastAsia"/>
              </w:rPr>
            </w:pPr>
            <w:r>
              <w:rPr>
                <w:rFonts w:hint="eastAsia"/>
              </w:rPr>
              <w:t>城市自由探索</w:t>
            </w:r>
          </w:p>
          <w:p w14:paraId="0D6DC55C">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ascii="宋体" w:hAnsi="宋体" w:eastAsia="宋体" w:cs="宋体"/>
                <w:spacing w:val="-1"/>
                <w:kern w:val="2"/>
                <w:sz w:val="21"/>
                <w:szCs w:val="21"/>
                <w:lang w:val="en-US" w:eastAsia="zh-CN" w:bidi="ar"/>
                <w:woUserID w:val="1"/>
              </w:rPr>
              <w:t>推荐参考路线：新加坡植物园或新加坡河游船等</w:t>
            </w:r>
          </w:p>
        </w:tc>
      </w:tr>
      <w:tr w14:paraId="0431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vMerge w:val="continue"/>
          </w:tcPr>
          <w:p w14:paraId="493CDC7B">
            <w:pPr>
              <w:keepNext w:val="0"/>
              <w:keepLines w:val="0"/>
              <w:suppressLineNumbers w:val="0"/>
              <w:spacing w:before="0" w:beforeAutospacing="0" w:after="0" w:afterAutospacing="0"/>
              <w:ind w:left="0" w:right="0"/>
              <w:jc w:val="both"/>
              <w:rPr>
                <w:rFonts w:hint="default"/>
              </w:rPr>
            </w:pPr>
          </w:p>
        </w:tc>
        <w:tc>
          <w:tcPr>
            <w:tcW w:w="434" w:type="pct"/>
          </w:tcPr>
          <w:p w14:paraId="15A7AAA1">
            <w:pPr>
              <w:keepNext w:val="0"/>
              <w:keepLines w:val="0"/>
              <w:suppressLineNumbers w:val="0"/>
              <w:spacing w:before="0" w:beforeAutospacing="0" w:after="0" w:afterAutospacing="0"/>
              <w:ind w:left="0" w:right="0"/>
              <w:jc w:val="both"/>
              <w:rPr>
                <w:rFonts w:hint="default" w:eastAsia="宋体"/>
                <w:lang w:val="en-US" w:eastAsia="zh-CN"/>
              </w:rPr>
            </w:pPr>
            <w:r>
              <w:rPr>
                <w:rFonts w:hint="eastAsia"/>
                <w:lang w:val="en-US" w:eastAsia="zh-CN"/>
              </w:rPr>
              <w:t>下午</w:t>
            </w:r>
          </w:p>
        </w:tc>
        <w:tc>
          <w:tcPr>
            <w:tcW w:w="4102" w:type="pct"/>
            <w:shd w:val="clear" w:color="auto" w:fill="C7DAF1" w:themeFill="text2" w:themeFillTint="32"/>
          </w:tcPr>
          <w:p w14:paraId="7BC5184D">
            <w:pPr>
              <w:pStyle w:val="22"/>
              <w:keepNext w:val="0"/>
              <w:keepLines w:val="0"/>
              <w:numPr>
                <w:ilvl w:val="0"/>
                <w:numId w:val="0"/>
              </w:numPr>
              <w:suppressLineNumbers w:val="0"/>
              <w:spacing w:before="0" w:beforeAutospacing="0" w:after="0" w:afterAutospacing="0"/>
              <w:jc w:val="both"/>
              <w:rPr>
                <w:rFonts w:hint="eastAsia"/>
                <w:b/>
                <w:bCs/>
              </w:rPr>
            </w:pPr>
            <w:r>
              <w:rPr>
                <w:rFonts w:hint="eastAsia" w:ascii="宋体" w:hAnsi="宋体" w:cs="宋体"/>
                <w:spacing w:val="-1"/>
                <w:szCs w:val="21"/>
              </w:rPr>
              <w:t>【专题讲座】</w:t>
            </w:r>
            <w:r>
              <w:rPr>
                <w:rFonts w:hint="eastAsia"/>
                <w:b/>
                <w:bCs/>
              </w:rPr>
              <w:t>小组展示</w:t>
            </w:r>
          </w:p>
          <w:p w14:paraId="4FED5D3B">
            <w:pPr>
              <w:pStyle w:val="22"/>
              <w:keepNext w:val="0"/>
              <w:keepLines w:val="0"/>
              <w:numPr>
                <w:ilvl w:val="0"/>
                <w:numId w:val="0"/>
              </w:numPr>
              <w:suppressLineNumbers w:val="0"/>
              <w:spacing w:before="0" w:beforeAutospacing="0" w:after="0" w:afterAutospacing="0"/>
              <w:jc w:val="both"/>
              <w:rPr>
                <w:rFonts w:hint="default" w:eastAsia="宋体"/>
                <w:b w:val="0"/>
                <w:bCs w:val="0"/>
                <w:lang w:val="en-US" w:eastAsia="zh-CN"/>
              </w:rPr>
            </w:pPr>
            <w:r>
              <w:rPr>
                <w:rFonts w:hint="eastAsia"/>
                <w:b w:val="0"/>
                <w:bCs w:val="0"/>
                <w:lang w:val="en-US" w:eastAsia="zh-CN"/>
              </w:rPr>
              <w:t>Group Presentation</w:t>
            </w:r>
          </w:p>
          <w:p w14:paraId="22B78A13">
            <w:pPr>
              <w:pStyle w:val="22"/>
              <w:keepNext w:val="0"/>
              <w:keepLines w:val="0"/>
              <w:numPr>
                <w:ilvl w:val="0"/>
                <w:numId w:val="0"/>
              </w:numPr>
              <w:suppressLineNumbers w:val="0"/>
              <w:spacing w:before="0" w:beforeAutospacing="0" w:after="0" w:afterAutospacing="0"/>
              <w:jc w:val="both"/>
              <w:rPr>
                <w:rFonts w:hint="default" w:eastAsia="宋体"/>
                <w:lang w:val="en-US" w:eastAsia="zh-CN"/>
              </w:rPr>
            </w:pPr>
            <w:r>
              <w:rPr>
                <w:rFonts w:hint="eastAsia"/>
              </w:rPr>
              <w:t>学生将前几节学到的概念应用于所选择的主题</w:t>
            </w:r>
            <w:r>
              <w:rPr>
                <w:rFonts w:hint="eastAsia"/>
                <w:lang w:val="en-US" w:eastAsia="zh-CN"/>
              </w:rPr>
              <w:t>当中</w:t>
            </w:r>
            <w:r>
              <w:rPr>
                <w:rFonts w:hint="eastAsia"/>
                <w:lang w:eastAsia="zh-CN"/>
              </w:rPr>
              <w:t>，</w:t>
            </w:r>
            <w:r>
              <w:rPr>
                <w:rFonts w:hint="eastAsia"/>
                <w:lang w:val="en-US" w:eastAsia="zh-CN"/>
              </w:rPr>
              <w:t>并进行分组展示；</w:t>
            </w:r>
          </w:p>
          <w:p w14:paraId="380B13AE">
            <w:pPr>
              <w:pStyle w:val="22"/>
              <w:keepNext w:val="0"/>
              <w:keepLines w:val="0"/>
              <w:numPr>
                <w:ilvl w:val="0"/>
                <w:numId w:val="0"/>
              </w:numPr>
              <w:suppressLineNumbers w:val="0"/>
              <w:spacing w:before="0" w:beforeAutospacing="0" w:after="0" w:afterAutospacing="0"/>
              <w:jc w:val="both"/>
              <w:rPr>
                <w:rFonts w:hint="eastAsia" w:eastAsia="宋体"/>
                <w:lang w:eastAsia="zh-CN"/>
              </w:rPr>
            </w:pPr>
            <w:bookmarkStart w:id="2" w:name="OLE_LINK2"/>
            <w:r>
              <w:rPr>
                <w:rFonts w:hint="eastAsia" w:ascii="宋体" w:hAnsi="宋体" w:cs="宋体"/>
                <w:spacing w:val="-2"/>
                <w:szCs w:val="21"/>
              </w:rPr>
              <w:t>结业典礼</w:t>
            </w:r>
            <w:bookmarkEnd w:id="2"/>
            <w:r>
              <w:rPr>
                <w:rFonts w:hint="eastAsia" w:ascii="宋体" w:hAnsi="宋体" w:cs="宋体"/>
                <w:spacing w:val="-2"/>
                <w:szCs w:val="21"/>
                <w:lang w:eastAsia="zh-CN"/>
              </w:rPr>
              <w:t>。</w:t>
            </w:r>
          </w:p>
        </w:tc>
      </w:tr>
      <w:tr w14:paraId="1ACB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tcPr>
          <w:p w14:paraId="732D17E2">
            <w:pPr>
              <w:keepNext w:val="0"/>
              <w:keepLines w:val="0"/>
              <w:suppressLineNumbers w:val="0"/>
              <w:spacing w:before="0" w:beforeAutospacing="0" w:after="0" w:afterAutospacing="0"/>
              <w:ind w:left="0" w:right="0"/>
              <w:jc w:val="both"/>
              <w:rPr>
                <w:rFonts w:hint="eastAsia" w:eastAsia="宋体"/>
                <w:lang w:eastAsia="zh-CN"/>
              </w:rPr>
            </w:pPr>
            <w:r>
              <w:rPr>
                <w:rFonts w:hint="eastAsia"/>
              </w:rPr>
              <w:t xml:space="preserve">Day </w:t>
            </w:r>
            <w:r>
              <w:rPr>
                <w:rFonts w:hint="eastAsia"/>
                <w:lang w:val="en-US" w:eastAsia="zh-CN"/>
              </w:rPr>
              <w:t>7</w:t>
            </w:r>
          </w:p>
        </w:tc>
        <w:tc>
          <w:tcPr>
            <w:tcW w:w="434" w:type="pct"/>
          </w:tcPr>
          <w:p w14:paraId="4563B9F9">
            <w:pPr>
              <w:keepNext w:val="0"/>
              <w:keepLines w:val="0"/>
              <w:suppressLineNumbers w:val="0"/>
              <w:spacing w:before="0" w:beforeAutospacing="0" w:after="0" w:afterAutospacing="0"/>
              <w:ind w:left="0" w:right="0"/>
              <w:jc w:val="both"/>
              <w:rPr>
                <w:rFonts w:hint="default"/>
              </w:rPr>
            </w:pPr>
            <w:r>
              <w:rPr>
                <w:rFonts w:hint="eastAsia"/>
              </w:rPr>
              <w:t>全天</w:t>
            </w:r>
          </w:p>
        </w:tc>
        <w:tc>
          <w:tcPr>
            <w:tcW w:w="4102" w:type="pct"/>
          </w:tcPr>
          <w:p w14:paraId="1CE4995A">
            <w:pPr>
              <w:keepNext w:val="0"/>
              <w:keepLines w:val="0"/>
              <w:suppressLineNumbers w:val="0"/>
              <w:spacing w:before="0" w:beforeAutospacing="0" w:after="0" w:afterAutospacing="0"/>
              <w:ind w:left="416" w:right="0" w:hanging="416" w:hangingChars="200"/>
              <w:jc w:val="both"/>
              <w:rPr>
                <w:rFonts w:hint="eastAsia" w:ascii="Arial" w:hAnsi="Arial" w:cs="Arial"/>
                <w:spacing w:val="-1"/>
                <w:szCs w:val="21"/>
              </w:rPr>
            </w:pPr>
            <w:r>
              <w:rPr>
                <w:rFonts w:hint="eastAsia" w:ascii="Arial" w:hAnsi="Arial" w:cs="Arial"/>
                <w:spacing w:val="-1"/>
                <w:szCs w:val="21"/>
              </w:rPr>
              <w:t>城市自由探索</w:t>
            </w:r>
          </w:p>
          <w:p w14:paraId="6DE599CD">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eastAsia" w:ascii="Arial" w:hAnsi="Arial" w:cs="Arial"/>
                <w:spacing w:val="-1"/>
                <w:sz w:val="21"/>
                <w:szCs w:val="21"/>
                <w:lang w:val="en-US" w:eastAsia="zh-CN"/>
              </w:rPr>
              <w:t>推荐路线：</w:t>
            </w:r>
            <w:r>
              <w:rPr>
                <w:rFonts w:hint="eastAsia" w:ascii="Arial" w:hAnsi="Arial" w:cs="Arial"/>
                <w:spacing w:val="-1"/>
                <w:sz w:val="21"/>
                <w:szCs w:val="21"/>
              </w:rPr>
              <w:t>牛车水-小印度-鱼尾狮公园-甘傍格南-哈芝巷-新加坡植物园</w:t>
            </w:r>
          </w:p>
          <w:p w14:paraId="51695E83">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default" w:ascii="Arial" w:hAnsi="Arial" w:cs="Arial"/>
                <w:spacing w:val="-1"/>
                <w:sz w:val="21"/>
                <w:szCs w:val="21"/>
              </w:rPr>
              <w:t>或</w:t>
            </w:r>
          </w:p>
          <w:p w14:paraId="4AA69FCA">
            <w:pPr>
              <w:keepNext w:val="0"/>
              <w:keepLines w:val="0"/>
              <w:widowControl w:val="0"/>
              <w:suppressLineNumbers w:val="0"/>
              <w:spacing w:before="0" w:beforeAutospacing="0" w:after="0" w:afterAutospacing="0"/>
              <w:ind w:left="0" w:right="0"/>
              <w:jc w:val="both"/>
              <w:rPr>
                <w:rFonts w:hint="default"/>
              </w:rPr>
            </w:pPr>
            <w:r>
              <w:rPr>
                <w:rFonts w:hint="default" w:ascii="Arial" w:hAnsi="Arial" w:cs="Arial"/>
                <w:spacing w:val="-1"/>
                <w:sz w:val="21"/>
                <w:szCs w:val="21"/>
              </w:rPr>
              <w:t>圣淘沙岛 环球影城一日游</w:t>
            </w:r>
          </w:p>
        </w:tc>
      </w:tr>
      <w:tr w14:paraId="10D7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pct"/>
          </w:tcPr>
          <w:p w14:paraId="6A51CD2B">
            <w:pPr>
              <w:keepNext w:val="0"/>
              <w:keepLines w:val="0"/>
              <w:suppressLineNumbers w:val="0"/>
              <w:spacing w:before="0" w:beforeAutospacing="0" w:after="0" w:afterAutospacing="0"/>
              <w:ind w:left="0" w:right="0"/>
              <w:jc w:val="both"/>
              <w:rPr>
                <w:rFonts w:hint="eastAsia" w:eastAsia="宋体"/>
                <w:lang w:val="en-US" w:eastAsia="zh-CN"/>
              </w:rPr>
            </w:pPr>
            <w:r>
              <w:rPr>
                <w:rFonts w:hint="eastAsia"/>
              </w:rPr>
              <w:t xml:space="preserve">Day </w:t>
            </w:r>
            <w:r>
              <w:rPr>
                <w:rFonts w:hint="eastAsia"/>
                <w:lang w:val="en-US" w:eastAsia="zh-CN"/>
              </w:rPr>
              <w:t>8</w:t>
            </w:r>
          </w:p>
        </w:tc>
        <w:tc>
          <w:tcPr>
            <w:tcW w:w="434" w:type="pct"/>
            <w:shd w:val="clear" w:color="auto" w:fill="auto"/>
            <w:vAlign w:val="top"/>
          </w:tcPr>
          <w:p w14:paraId="135ED66C">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rPr>
              <w:t>全天</w:t>
            </w:r>
          </w:p>
        </w:tc>
        <w:tc>
          <w:tcPr>
            <w:tcW w:w="4102" w:type="pct"/>
            <w:shd w:val="clear" w:color="auto" w:fill="auto"/>
            <w:vAlign w:val="top"/>
          </w:tcPr>
          <w:p w14:paraId="0D080101">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4"/>
                <w:lang w:val="en-US" w:eastAsia="zh-CN" w:bidi="ar-SA"/>
              </w:rPr>
            </w:pPr>
            <w:r>
              <w:rPr>
                <w:rFonts w:hint="eastAsia"/>
              </w:rPr>
              <w:t>项目结束，返回国内</w:t>
            </w:r>
          </w:p>
        </w:tc>
      </w:tr>
    </w:tbl>
    <w:p w14:paraId="2C469CD6"/>
    <w:p w14:paraId="6101BE7F">
      <w:r>
        <w:t>【</w:t>
      </w:r>
      <w:r>
        <w:rPr>
          <w:rFonts w:hint="eastAsia"/>
        </w:rPr>
        <w:t>师资简介</w:t>
      </w:r>
      <w:r>
        <w:t>】</w:t>
      </w:r>
      <w:r>
        <w:rPr>
          <w:rFonts w:hint="eastAsia"/>
        </w:rPr>
        <w:t>（以实际安排为准）</w:t>
      </w:r>
    </w:p>
    <w:p w14:paraId="27DEF33B">
      <w:pPr>
        <w:rPr>
          <w:rFonts w:hint="eastAsia" w:asciiTheme="minorHAnsi" w:hAnsiTheme="minorHAnsi" w:cstheme="minorHAnsi"/>
        </w:rPr>
      </w:pPr>
      <w:r>
        <w:rPr>
          <w:rFonts w:hint="eastAsia" w:asciiTheme="minorHAnsi" w:hAnsiTheme="minorHAnsi" w:cstheme="minorHAnsi"/>
          <w:lang w:val="en-US" w:eastAsia="zh-CN"/>
        </w:rPr>
        <w:t xml:space="preserve">Dr. ILYA AKDEMIR, </w:t>
      </w:r>
      <w:r>
        <w:rPr>
          <w:rFonts w:hint="eastAsia" w:asciiTheme="minorHAnsi" w:hAnsiTheme="minorHAnsi" w:cstheme="minorHAnsi"/>
        </w:rPr>
        <w:t>于2023年和2017年在加州大学伯克利分校获得法学博士和法学硕士学位。</w:t>
      </w:r>
      <w:r>
        <w:rPr>
          <w:rFonts w:hint="eastAsia" w:asciiTheme="minorHAnsi" w:hAnsiTheme="minorHAnsi" w:cstheme="minorHAnsi"/>
          <w:lang w:val="en-US" w:eastAsia="zh-CN"/>
        </w:rPr>
        <w:t>Dr. ILYA AKDEMIR</w:t>
      </w:r>
      <w:r>
        <w:rPr>
          <w:rFonts w:hint="eastAsia" w:asciiTheme="minorHAnsi" w:hAnsiTheme="minorHAnsi" w:cstheme="minorHAnsi"/>
        </w:rPr>
        <w:t>的研究和教学兴趣集中在法律与技术的交汇点，特别关注当今的数据驱动方法和途径，如机器学习、自然语言处理、数据科学、人工智能等，在法律领域的应用和可能的滥用。此外，他还致力于开发基于认识论的法律回应，以应对当今新兴技术，包括与人工智能技术及其法律和社会影响相关的问题。</w:t>
      </w:r>
    </w:p>
    <w:bookmarkEnd w:id="1"/>
    <w:p w14:paraId="5B3B1A35">
      <w:pPr>
        <w:rPr>
          <w:rFonts w:asciiTheme="minorHAnsi" w:hAnsiTheme="minorHAnsi" w:cstheme="minorHAnsi"/>
        </w:rPr>
      </w:pPr>
    </w:p>
    <w:p w14:paraId="4A52CC14">
      <w:r>
        <w:t>【</w:t>
      </w:r>
      <w:r>
        <w:rPr>
          <w:rFonts w:hint="eastAsia"/>
        </w:rPr>
        <w:t>项目收获</w:t>
      </w:r>
      <w:r>
        <w:t>】</w:t>
      </w:r>
    </w:p>
    <w:p w14:paraId="58101B91">
      <w:pPr>
        <w:numPr>
          <w:ilvl w:val="0"/>
          <w:numId w:val="5"/>
        </w:numPr>
        <w:ind w:left="420" w:leftChars="0" w:hanging="420" w:firstLineChars="0"/>
        <w:rPr>
          <w:rFonts w:hint="eastAsia"/>
        </w:rPr>
      </w:pPr>
      <w:r>
        <w:rPr>
          <w:rFonts w:hint="eastAsia"/>
        </w:rPr>
        <w:t>报名成功的学员将收到新加坡国立大学</w:t>
      </w:r>
      <w:r>
        <w:rPr>
          <w:rFonts w:hint="eastAsia"/>
          <w:lang w:val="en-US" w:eastAsia="zh-CN"/>
        </w:rPr>
        <w:t>SCALE</w:t>
      </w:r>
      <w:r>
        <w:rPr>
          <w:rFonts w:hint="eastAsia"/>
        </w:rPr>
        <w:t>签发的官方</w:t>
      </w:r>
      <w:r>
        <w:rPr>
          <w:rFonts w:hint="eastAsia"/>
          <w:lang w:val="en-US" w:eastAsia="zh-CN"/>
        </w:rPr>
        <w:t>项目录取通知</w:t>
      </w:r>
      <w:r>
        <w:rPr>
          <w:rFonts w:hint="eastAsia"/>
        </w:rPr>
        <w:t xml:space="preserve">。 </w:t>
      </w:r>
    </w:p>
    <w:p w14:paraId="2BA830EB">
      <w:pPr>
        <w:numPr>
          <w:ilvl w:val="0"/>
          <w:numId w:val="5"/>
        </w:numPr>
        <w:ind w:left="420" w:leftChars="0" w:hanging="420" w:firstLineChars="0"/>
        <w:rPr>
          <w:kern w:val="0"/>
          <w:sz w:val="22"/>
        </w:rPr>
      </w:pPr>
      <w:r>
        <w:rPr>
          <w:rFonts w:hint="eastAsia"/>
        </w:rPr>
        <w:t>顺利完成本课程并通过考核</w:t>
      </w:r>
      <w:r>
        <w:rPr>
          <w:rFonts w:hint="eastAsia"/>
          <w:vertAlign w:val="superscript"/>
          <w:lang w:val="en-US" w:eastAsia="zh-CN"/>
        </w:rPr>
        <w:t>1</w:t>
      </w:r>
      <w:r>
        <w:rPr>
          <w:rFonts w:hint="eastAsia"/>
        </w:rPr>
        <w:t>的学员，将获得由新加坡国立大学</w:t>
      </w:r>
      <w:r>
        <w:rPr>
          <w:rFonts w:hint="eastAsia"/>
          <w:lang w:val="en-US" w:eastAsia="zh-CN"/>
        </w:rPr>
        <w:t>SCALE &amp; LAW</w:t>
      </w:r>
      <w:r>
        <w:rPr>
          <w:rFonts w:hint="eastAsia"/>
        </w:rPr>
        <w:t>官方颁发的</w:t>
      </w:r>
      <w:r>
        <w:rPr>
          <w:rFonts w:hint="eastAsia"/>
          <w:lang w:val="en-US" w:eastAsia="zh-CN"/>
        </w:rPr>
        <w:t>电子版</w:t>
      </w:r>
      <w:r>
        <w:rPr>
          <w:rFonts w:hint="eastAsia"/>
        </w:rPr>
        <w:t>结业证书</w:t>
      </w:r>
      <w:r>
        <w:rPr>
          <w:rFonts w:hint="eastAsia"/>
          <w:vertAlign w:val="superscript"/>
          <w:lang w:val="en-US" w:eastAsia="zh-CN"/>
        </w:rPr>
        <w:t>2</w:t>
      </w:r>
      <w:r>
        <w:rPr>
          <w:rFonts w:hint="eastAsia"/>
          <w:lang w:eastAsia="zh-CN"/>
        </w:rPr>
        <w:t>、</w:t>
      </w:r>
      <w:r>
        <w:rPr>
          <w:rFonts w:hint="eastAsia"/>
          <w:lang w:val="en-US" w:eastAsia="zh-CN"/>
        </w:rPr>
        <w:t>成绩测评报告</w:t>
      </w:r>
      <w:r>
        <w:rPr>
          <w:rFonts w:hint="eastAsia"/>
        </w:rPr>
        <w:t>，优胜小组成员还将额外获得优秀学员证明。</w:t>
      </w:r>
      <w:r>
        <w:rPr>
          <w:rFonts w:hint="eastAsia"/>
          <w:kern w:val="0"/>
          <w:sz w:val="22"/>
        </w:rPr>
        <w:t xml:space="preserve"> </w:t>
      </w:r>
    </w:p>
    <w:p w14:paraId="69AFCFC0">
      <w:pPr>
        <w:rPr>
          <w:rFonts w:hint="eastAsia"/>
          <w:lang w:val="en-US" w:eastAsia="zh-CN"/>
        </w:rPr>
      </w:pPr>
      <w:r>
        <w:rPr>
          <w:rFonts w:hint="eastAsia"/>
          <w:lang w:val="en-US" w:eastAsia="zh-CN"/>
        </w:rPr>
        <w:t xml:space="preserve">注1：只有满足以下三项要求时，才会向参与者颁发结业证书: </w:t>
      </w:r>
    </w:p>
    <w:p w14:paraId="2889F555">
      <w:pPr>
        <w:numPr>
          <w:ilvl w:val="0"/>
          <w:numId w:val="6"/>
        </w:numPr>
        <w:ind w:firstLine="420" w:firstLineChars="200"/>
        <w:rPr>
          <w:rFonts w:hint="eastAsia"/>
          <w:lang w:val="en-US" w:eastAsia="zh-CN"/>
        </w:rPr>
      </w:pPr>
      <w:r>
        <w:rPr>
          <w:rFonts w:hint="eastAsia"/>
          <w:lang w:val="en-US" w:eastAsia="zh-CN"/>
        </w:rPr>
        <w:t xml:space="preserve">满足最低 85%的整体出勤率 </w:t>
      </w:r>
    </w:p>
    <w:p w14:paraId="3E7C3030">
      <w:pPr>
        <w:numPr>
          <w:ilvl w:val="0"/>
          <w:numId w:val="6"/>
        </w:numPr>
        <w:ind w:firstLine="420" w:firstLineChars="200"/>
        <w:rPr>
          <w:rFonts w:hint="eastAsia"/>
          <w:lang w:val="en-US" w:eastAsia="zh-CN"/>
        </w:rPr>
      </w:pPr>
      <w:r>
        <w:rPr>
          <w:rFonts w:hint="eastAsia"/>
          <w:lang w:val="en-US" w:eastAsia="zh-CN"/>
        </w:rPr>
        <w:t xml:space="preserve">在给定的截止日期内完成并通过评估 </w:t>
      </w:r>
    </w:p>
    <w:p w14:paraId="06527102">
      <w:pPr>
        <w:numPr>
          <w:ilvl w:val="0"/>
          <w:numId w:val="6"/>
        </w:numPr>
        <w:ind w:firstLine="420" w:firstLineChars="200"/>
        <w:rPr>
          <w:rFonts w:hint="eastAsia"/>
          <w:lang w:val="en-US" w:eastAsia="zh-CN"/>
        </w:rPr>
      </w:pPr>
      <w:r>
        <w:rPr>
          <w:rFonts w:hint="eastAsia"/>
          <w:lang w:val="en-US" w:eastAsia="zh-CN"/>
        </w:rPr>
        <w:t xml:space="preserve">在项目结束时完成项目后评估 </w:t>
      </w:r>
    </w:p>
    <w:p w14:paraId="4EFE080A">
      <w:pPr>
        <w:rPr>
          <w:rFonts w:hint="eastAsia"/>
          <w:lang w:val="en-US" w:eastAsia="zh-CN"/>
        </w:rPr>
      </w:pPr>
      <w:r>
        <w:rPr>
          <w:rFonts w:hint="eastAsia"/>
          <w:lang w:val="en-US" w:eastAsia="zh-CN"/>
        </w:rPr>
        <w:t>注2：新加坡国立大学SCALE &amp; LAW保留对证书决定的最终权利，新加坡高校访学项目是没有学分的。</w:t>
      </w:r>
    </w:p>
    <w:p w14:paraId="4FCC9A17">
      <w:pPr>
        <w:rPr>
          <w:rFonts w:hint="eastAsia"/>
          <w:lang w:val="en-US" w:eastAsia="zh-CN"/>
        </w:rPr>
      </w:pPr>
    </w:p>
    <w:p w14:paraId="2F4CE276">
      <w:pPr>
        <w:rPr>
          <w:rFonts w:cs="Calibri"/>
        </w:rPr>
      </w:pPr>
      <w:r>
        <w:rPr>
          <w:rFonts w:cs="Calibri"/>
        </w:rPr>
        <w:t>【</w:t>
      </w:r>
      <w:r>
        <w:rPr>
          <w:rFonts w:hint="eastAsia"/>
        </w:rPr>
        <w:t>项目</w:t>
      </w:r>
      <w:r>
        <w:t>费用</w:t>
      </w:r>
      <w:r>
        <w:rPr>
          <w:rFonts w:cs="Calibri"/>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1788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6E18073A">
            <w:pPr>
              <w:keepNext w:val="0"/>
              <w:keepLines w:val="0"/>
              <w:suppressLineNumbers w:val="0"/>
              <w:spacing w:before="0" w:beforeAutospacing="0" w:after="0" w:afterAutospacing="0"/>
              <w:ind w:left="0" w:right="0"/>
              <w:jc w:val="both"/>
              <w:rPr>
                <w:rFonts w:hint="default"/>
              </w:rPr>
            </w:pPr>
            <w:bookmarkStart w:id="3" w:name="_Hlk129190493"/>
            <w:r>
              <w:rPr>
                <w:rFonts w:hint="eastAsia"/>
              </w:rPr>
              <w:t>项目总费用</w:t>
            </w:r>
          </w:p>
        </w:tc>
        <w:tc>
          <w:tcPr>
            <w:tcW w:w="7048" w:type="dxa"/>
          </w:tcPr>
          <w:p w14:paraId="58945E06">
            <w:pPr>
              <w:keepNext w:val="0"/>
              <w:keepLines w:val="0"/>
              <w:suppressLineNumbers w:val="0"/>
              <w:spacing w:before="0" w:beforeAutospacing="0" w:after="0" w:afterAutospacing="0"/>
              <w:ind w:left="0" w:right="0"/>
              <w:jc w:val="both"/>
              <w:rPr>
                <w:rFonts w:hint="default"/>
              </w:rPr>
            </w:pPr>
            <w:r>
              <w:rPr>
                <w:rFonts w:hint="eastAsia"/>
              </w:rPr>
              <w:t>约人民币1.68万元</w:t>
            </w:r>
          </w:p>
        </w:tc>
      </w:tr>
      <w:tr w14:paraId="5CF9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3C37C434">
            <w:pPr>
              <w:keepNext w:val="0"/>
              <w:keepLines w:val="0"/>
              <w:suppressLineNumbers w:val="0"/>
              <w:spacing w:before="0" w:beforeAutospacing="0" w:after="0" w:afterAutospacing="0"/>
              <w:ind w:left="0" w:right="0"/>
              <w:jc w:val="both"/>
              <w:rPr>
                <w:rFonts w:hint="default"/>
              </w:rPr>
            </w:pPr>
            <w:r>
              <w:rPr>
                <w:rFonts w:hint="eastAsia"/>
              </w:rPr>
              <w:t>费用包括：</w:t>
            </w:r>
          </w:p>
        </w:tc>
        <w:tc>
          <w:tcPr>
            <w:tcW w:w="7048" w:type="dxa"/>
          </w:tcPr>
          <w:p w14:paraId="27899C88">
            <w:pPr>
              <w:keepNext w:val="0"/>
              <w:keepLines w:val="0"/>
              <w:suppressLineNumbers w:val="0"/>
              <w:spacing w:before="0" w:beforeAutospacing="0" w:after="0" w:afterAutospacing="0"/>
              <w:ind w:left="0" w:right="0"/>
              <w:jc w:val="both"/>
              <w:rPr>
                <w:rFonts w:hint="default"/>
              </w:rPr>
            </w:pPr>
            <w:r>
              <w:rPr>
                <w:rFonts w:hint="default" w:asciiTheme="minorHAnsi" w:hAnsiTheme="minorHAnsi" w:eastAsiaTheme="majorEastAsia" w:cstheme="minorHAnsi"/>
                <w:szCs w:val="21"/>
              </w:rPr>
              <w:t>学费、杂费、酒店住宿、接机、大巴上学送生、参访费、医疗与意外险、项目服务费</w:t>
            </w:r>
          </w:p>
        </w:tc>
      </w:tr>
      <w:tr w14:paraId="742C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0D64A926">
            <w:pPr>
              <w:keepNext w:val="0"/>
              <w:keepLines w:val="0"/>
              <w:suppressLineNumbers w:val="0"/>
              <w:spacing w:before="0" w:beforeAutospacing="0" w:after="0" w:afterAutospacing="0"/>
              <w:ind w:left="0" w:right="0"/>
              <w:jc w:val="both"/>
              <w:rPr>
                <w:rFonts w:hint="default"/>
              </w:rPr>
            </w:pPr>
            <w:r>
              <w:rPr>
                <w:rFonts w:hint="eastAsia"/>
              </w:rPr>
              <w:t>费用不包括：</w:t>
            </w:r>
          </w:p>
        </w:tc>
        <w:tc>
          <w:tcPr>
            <w:tcW w:w="7048" w:type="dxa"/>
          </w:tcPr>
          <w:p w14:paraId="41257BDB">
            <w:pPr>
              <w:keepNext w:val="0"/>
              <w:keepLines w:val="0"/>
              <w:suppressLineNumbers w:val="0"/>
              <w:spacing w:before="0" w:beforeAutospacing="0" w:after="0" w:afterAutospacing="0"/>
              <w:ind w:left="0" w:right="0"/>
              <w:jc w:val="both"/>
              <w:rPr>
                <w:rFonts w:hint="eastAsia" w:eastAsiaTheme="majorEastAsia"/>
                <w:lang w:eastAsia="zh-CN"/>
              </w:rPr>
            </w:pPr>
            <w:r>
              <w:rPr>
                <w:rFonts w:hint="default" w:asciiTheme="minorHAnsi" w:hAnsiTheme="minorHAnsi" w:eastAsiaTheme="majorEastAsia" w:cstheme="minorHAnsi"/>
                <w:szCs w:val="21"/>
              </w:rPr>
              <w:t>国际机票、</w:t>
            </w:r>
            <w:r>
              <w:rPr>
                <w:rFonts w:hint="eastAsia" w:asciiTheme="minorHAnsi" w:hAnsiTheme="minorHAnsi" w:eastAsiaTheme="majorEastAsia" w:cstheme="minorHAnsi"/>
                <w:szCs w:val="21"/>
              </w:rPr>
              <w:t>三餐</w:t>
            </w:r>
            <w:r>
              <w:rPr>
                <w:rFonts w:hint="default" w:asciiTheme="minorHAnsi" w:hAnsiTheme="minorHAnsi" w:eastAsiaTheme="majorEastAsia" w:cstheme="minorHAnsi"/>
                <w:szCs w:val="21"/>
              </w:rPr>
              <w:t>餐费、大巴放学接生，送机、个人生活费</w:t>
            </w:r>
          </w:p>
        </w:tc>
      </w:tr>
      <w:bookmarkEnd w:id="3"/>
    </w:tbl>
    <w:p w14:paraId="685CC6DF">
      <w:bookmarkStart w:id="4" w:name="_GoBack"/>
      <w:bookmarkEnd w:id="4"/>
    </w:p>
    <w:p w14:paraId="25BFCB56">
      <w:pPr>
        <w:rPr>
          <w:b/>
          <w:bCs/>
        </w:rPr>
      </w:pPr>
      <w:r>
        <w:rPr>
          <w:rFonts w:hint="eastAsia"/>
          <w:b/>
          <w:bCs/>
        </w:rPr>
        <w:t>五、项目申请</w:t>
      </w:r>
    </w:p>
    <w:p w14:paraId="17153750">
      <w:pPr>
        <w:pStyle w:val="22"/>
        <w:numPr>
          <w:ilvl w:val="0"/>
          <w:numId w:val="7"/>
        </w:numPr>
        <w:ind w:leftChars="0"/>
        <w:rPr>
          <w:rFonts w:cs="Calibri"/>
        </w:rPr>
      </w:pPr>
      <w:r>
        <w:rPr>
          <w:b/>
        </w:rPr>
        <w:t>选拔要</w:t>
      </w:r>
      <w:r>
        <w:rPr>
          <w:rFonts w:hint="eastAsia"/>
          <w:b/>
          <w:lang w:val="en-US" w:eastAsia="zh-CN"/>
        </w:rPr>
        <w:t>求（新加坡国立大学SCALE &amp; LAW审核</w:t>
      </w:r>
      <w:r>
        <w:rPr>
          <w:rFonts w:hint="eastAsia"/>
          <w:b/>
          <w:lang w:eastAsia="zh-CN"/>
        </w:rPr>
        <w:t>）：</w:t>
      </w:r>
      <w:r>
        <w:rPr>
          <w:rFonts w:hint="eastAsia"/>
          <w:b w:val="0"/>
          <w:bCs/>
          <w:lang w:val="en-US" w:eastAsia="zh-CN"/>
        </w:rPr>
        <w:t>15岁以上</w:t>
      </w:r>
      <w:r>
        <w:rPr>
          <w:rFonts w:hint="eastAsia"/>
          <w:b w:val="0"/>
          <w:bCs/>
        </w:rPr>
        <w:t>在读本科生</w:t>
      </w:r>
      <w:r>
        <w:rPr>
          <w:rFonts w:hint="eastAsia"/>
          <w:b w:val="0"/>
          <w:bCs/>
          <w:lang w:eastAsia="zh-CN"/>
        </w:rPr>
        <w:t>，</w:t>
      </w:r>
      <w:r>
        <w:rPr>
          <w:rFonts w:hint="eastAsia"/>
          <w:b w:val="0"/>
          <w:bCs/>
          <w:lang w:val="en-US" w:eastAsia="zh-CN"/>
        </w:rPr>
        <w:t>硕士生</w:t>
      </w:r>
      <w:r>
        <w:rPr>
          <w:rFonts w:hint="eastAsia" w:ascii="Times New Roman" w:hAnsi="Times New Roman" w:eastAsia="宋体" w:cs="Times New Roman"/>
          <w:b w:val="0"/>
          <w:bCs/>
          <w:highlight w:val="none"/>
          <w:lang w:val="en-US" w:eastAsia="zh-CN"/>
        </w:rPr>
        <w:t>（需向国大提交特殊申请，最终结果以国大审核为准；MBA/EMBA/MPA 学生暂不接受申请）</w:t>
      </w:r>
      <w:r>
        <w:rPr>
          <w:rFonts w:hint="eastAsia"/>
          <w:b w:val="0"/>
          <w:bCs/>
        </w:rPr>
        <w:t>；</w:t>
      </w:r>
    </w:p>
    <w:p w14:paraId="7C4E8521">
      <w:pPr>
        <w:pStyle w:val="22"/>
        <w:numPr>
          <w:ilvl w:val="0"/>
          <w:numId w:val="7"/>
        </w:numPr>
        <w:ind w:leftChars="0"/>
        <w:rPr>
          <w:rFonts w:cs="Calibri"/>
        </w:rPr>
      </w:pPr>
      <w:r>
        <w:rPr>
          <w:rFonts w:hint="eastAsia"/>
          <w:b/>
          <w:lang w:val="en-US" w:eastAsia="zh-CN"/>
        </w:rPr>
        <w:t>语言成绩（全美国际审核）：</w:t>
      </w:r>
      <w:r>
        <w:rPr>
          <w:rFonts w:hint="eastAsia"/>
        </w:rPr>
        <w:t>托福</w:t>
      </w:r>
      <w:r>
        <w:rPr>
          <w:rFonts w:hint="eastAsia"/>
          <w:lang w:val="en-US" w:eastAsia="zh-CN"/>
        </w:rPr>
        <w:t>70/</w:t>
      </w:r>
      <w:r>
        <w:rPr>
          <w:rFonts w:hint="eastAsia"/>
        </w:rPr>
        <w:t>雅思</w:t>
      </w:r>
      <w:r>
        <w:rPr>
          <w:rFonts w:hint="eastAsia"/>
          <w:lang w:val="en-US" w:eastAsia="zh-CN"/>
        </w:rPr>
        <w:t>5.5（如有）</w:t>
      </w:r>
      <w:r>
        <w:rPr>
          <w:rFonts w:hint="eastAsia"/>
        </w:rPr>
        <w:t>，</w:t>
      </w:r>
      <w:r>
        <w:t>四级470/六级450/专四65/多邻国90/高考110</w:t>
      </w:r>
      <w:r>
        <w:rPr>
          <w:rFonts w:hint="eastAsia"/>
        </w:rPr>
        <w:t>（限大一）即可申请；</w:t>
      </w:r>
    </w:p>
    <w:p w14:paraId="1FFB4546">
      <w:pPr>
        <w:pStyle w:val="22"/>
        <w:numPr>
          <w:ilvl w:val="0"/>
          <w:numId w:val="7"/>
        </w:numPr>
        <w:ind w:leftChars="0"/>
      </w:pPr>
      <w:r>
        <w:rPr>
          <w:rFonts w:hint="eastAsia"/>
          <w:b/>
          <w:kern w:val="0"/>
        </w:rPr>
        <w:t>报名</w:t>
      </w:r>
      <w:r>
        <w:rPr>
          <w:b/>
          <w:kern w:val="0"/>
        </w:rPr>
        <w:t>方式</w:t>
      </w:r>
      <w:r>
        <w:rPr>
          <w:rFonts w:hint="eastAsia"/>
          <w:b/>
          <w:kern w:val="0"/>
        </w:rPr>
        <w:t xml:space="preserve">： </w:t>
      </w:r>
      <w:r>
        <w:rPr>
          <w:rFonts w:hint="eastAsia"/>
          <w:bCs/>
          <w:kern w:val="0"/>
        </w:rPr>
        <w:t>登录</w:t>
      </w:r>
      <w:r>
        <w:t>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rPr>
        <w:t xml:space="preserve"> </w:t>
      </w:r>
      <w:r>
        <w:t>填写《</w:t>
      </w:r>
      <w:r>
        <w:rPr>
          <w:rFonts w:hint="eastAsia"/>
        </w:rPr>
        <w:t>世界</w:t>
      </w:r>
      <w:r>
        <w:t>名校访学项目报名表》；</w:t>
      </w:r>
    </w:p>
    <w:p w14:paraId="4EFFEBCF">
      <w:pPr>
        <w:pStyle w:val="22"/>
        <w:numPr>
          <w:ilvl w:val="0"/>
          <w:numId w:val="0"/>
        </w:numPr>
        <w:ind w:leftChars="0" w:right="210" w:rightChars="100"/>
      </w:pPr>
      <w:r>
        <w:rPr>
          <w:rFonts w:hint="eastAsia"/>
        </w:rPr>
        <w:t xml:space="preserve">                                                                                    </w:t>
      </w:r>
    </w:p>
    <w:p w14:paraId="76BDEFF7">
      <w:r>
        <w:rPr>
          <w:rFonts w:hint="eastAsia"/>
        </w:rPr>
        <w:t>全美国际教育协会官网：www.usiea.org </w:t>
      </w:r>
    </w:p>
    <w:p w14:paraId="46352716">
      <w:pPr>
        <w:rPr>
          <w:rFonts w:ascii="Calibri" w:hAnsi="Calibri" w:cs="Calibri"/>
          <w:sz w:val="22"/>
          <w:szCs w:val="22"/>
        </w:rPr>
      </w:pPr>
      <w:r>
        <w:rPr>
          <w:rFonts w:hint="eastAsia" w:asciiTheme="minorHAnsi" w:hAnsiTheme="minorHAnsi" w:eastAsiaTheme="majorEastAsia" w:cstheme="minorHAnsi"/>
          <w:szCs w:val="21"/>
        </w:rPr>
        <w:t>项目邮箱咨询：</w:t>
      </w:r>
      <w:r>
        <w:fldChar w:fldCharType="begin"/>
      </w:r>
      <w:r>
        <w:instrText xml:space="preserve"> HYPERLINK "mailto:visit_usyd@yeah.net" </w:instrText>
      </w:r>
      <w:r>
        <w:fldChar w:fldCharType="separate"/>
      </w:r>
      <w:r>
        <w:rPr>
          <w:rFonts w:hint="eastAsia" w:asciiTheme="minorHAnsi" w:hAnsiTheme="minorHAnsi" w:eastAsiaTheme="majorEastAsia" w:cstheme="minorHAnsi"/>
          <w:color w:val="4F81BD" w:themeColor="accent1"/>
          <w:szCs w:val="21"/>
          <w14:textFill>
            <w14:solidFill>
              <w14:schemeClr w14:val="accent1"/>
            </w14:solidFill>
          </w14:textFill>
        </w:rPr>
        <w:t>visit_nus@yeah.net</w:t>
      </w:r>
      <w:r>
        <w:rPr>
          <w:rFonts w:hint="eastAsia" w:asciiTheme="minorHAnsi" w:hAnsiTheme="minorHAnsi" w:eastAsiaTheme="majorEastAsia" w:cstheme="minorHAnsi"/>
          <w:color w:val="4F81BD" w:themeColor="accent1"/>
          <w:szCs w:val="21"/>
          <w14:textFill>
            <w14:solidFill>
              <w14:schemeClr w14:val="accent1"/>
            </w14:solidFill>
          </w14:textFill>
        </w:rPr>
        <w:fldChar w:fldCharType="end"/>
      </w:r>
      <w:r>
        <w:rPr>
          <w:rFonts w:hint="eastAsia" w:asciiTheme="minorHAnsi" w:hAnsiTheme="minorHAnsi" w:eastAsiaTheme="majorEastAsia" w:cstheme="minorHAnsi"/>
          <w:color w:val="4F81BD" w:themeColor="accent1"/>
          <w:szCs w:val="21"/>
          <w14:textFill>
            <w14:solidFill>
              <w14:schemeClr w14:val="accent1"/>
            </w14:solidFill>
          </w14:textFill>
        </w:rPr>
        <w:t xml:space="preserve"> </w:t>
      </w:r>
    </w:p>
    <w:sectPr>
      <w:headerReference r:id="rId5" w:type="default"/>
      <w:footerReference r:id="rId6" w:type="default"/>
      <w:pgSz w:w="11906" w:h="16838"/>
      <w:pgMar w:top="2025" w:right="1800" w:bottom="1440" w:left="1800" w:header="737"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7D60">
    <w:pPr>
      <w:pStyle w:val="8"/>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E04A2A">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E04A2A">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A48C0">
    <w:pPr>
      <w:rPr>
        <w:rFonts w:hint="eastAsia" w:ascii="微软雅黑" w:hAnsi="微软雅黑" w:eastAsia="微软雅黑"/>
        <w:sz w:val="30"/>
        <w:szCs w:val="30"/>
        <w:lang w:val="en-CA"/>
      </w:rPr>
    </w:pPr>
    <w:r>
      <w:rPr>
        <w:rFonts w:hint="eastAsia"/>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6630D"/>
    <w:multiLevelType w:val="singleLevel"/>
    <w:tmpl w:val="84D6630D"/>
    <w:lvl w:ilvl="0" w:tentative="0">
      <w:start w:val="1"/>
      <w:numFmt w:val="decimal"/>
      <w:suff w:val="space"/>
      <w:lvlText w:val="%1."/>
      <w:lvlJc w:val="left"/>
    </w:lvl>
  </w:abstractNum>
  <w:abstractNum w:abstractNumId="1">
    <w:nsid w:val="D01483F2"/>
    <w:multiLevelType w:val="singleLevel"/>
    <w:tmpl w:val="D01483F2"/>
    <w:lvl w:ilvl="0" w:tentative="0">
      <w:start w:val="1"/>
      <w:numFmt w:val="bullet"/>
      <w:lvlText w:val=""/>
      <w:lvlJc w:val="left"/>
      <w:pPr>
        <w:ind w:left="420" w:hanging="420"/>
      </w:pPr>
      <w:rPr>
        <w:rFonts w:hint="default" w:ascii="Wingdings" w:hAnsi="Wingdings"/>
      </w:rPr>
    </w:lvl>
  </w:abstractNum>
  <w:abstractNum w:abstractNumId="2">
    <w:nsid w:val="E181045E"/>
    <w:multiLevelType w:val="singleLevel"/>
    <w:tmpl w:val="E181045E"/>
    <w:lvl w:ilvl="0" w:tentative="0">
      <w:start w:val="1"/>
      <w:numFmt w:val="bullet"/>
      <w:lvlText w:val=""/>
      <w:lvlJc w:val="left"/>
      <w:pPr>
        <w:ind w:left="420" w:hanging="420"/>
      </w:pPr>
      <w:rPr>
        <w:rFonts w:hint="default" w:ascii="Wingdings" w:hAnsi="Wingdings"/>
      </w:rPr>
    </w:lvl>
  </w:abstractNum>
  <w:abstractNum w:abstractNumId="3">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4">
    <w:nsid w:val="4EAB72CE"/>
    <w:multiLevelType w:val="singleLevel"/>
    <w:tmpl w:val="4EAB72CE"/>
    <w:lvl w:ilvl="0" w:tentative="0">
      <w:start w:val="4"/>
      <w:numFmt w:val="chineseCounting"/>
      <w:pStyle w:val="22"/>
      <w:suff w:val="nothing"/>
      <w:lvlText w:val="%1、"/>
      <w:lvlJc w:val="left"/>
      <w:rPr>
        <w:rFonts w:hint="eastAsia"/>
      </w:rPr>
    </w:lvl>
  </w:abstractNum>
  <w:abstractNum w:abstractNumId="5">
    <w:nsid w:val="748F5499"/>
    <w:multiLevelType w:val="multilevel"/>
    <w:tmpl w:val="748F5499"/>
    <w:lvl w:ilvl="0" w:tentative="0">
      <w:start w:val="4"/>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iN2EzOTIwNTFkMWRjYjlhM2M2MjEwMTAzOTAyMTA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2172"/>
    <w:rsid w:val="0005389A"/>
    <w:rsid w:val="00060047"/>
    <w:rsid w:val="0006181E"/>
    <w:rsid w:val="00065242"/>
    <w:rsid w:val="00067D4B"/>
    <w:rsid w:val="00067E78"/>
    <w:rsid w:val="000703CF"/>
    <w:rsid w:val="00075129"/>
    <w:rsid w:val="00075952"/>
    <w:rsid w:val="000801A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4B"/>
    <w:rsid w:val="00105AD2"/>
    <w:rsid w:val="00106BA3"/>
    <w:rsid w:val="0010774B"/>
    <w:rsid w:val="00107A49"/>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86536"/>
    <w:rsid w:val="0019096B"/>
    <w:rsid w:val="00192BD9"/>
    <w:rsid w:val="00192C0F"/>
    <w:rsid w:val="0019718A"/>
    <w:rsid w:val="001A0C7A"/>
    <w:rsid w:val="001A116C"/>
    <w:rsid w:val="001A25EC"/>
    <w:rsid w:val="001A281F"/>
    <w:rsid w:val="001A32AC"/>
    <w:rsid w:val="001A6AB1"/>
    <w:rsid w:val="001A7D56"/>
    <w:rsid w:val="001B15E9"/>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7A3"/>
    <w:rsid w:val="00223F58"/>
    <w:rsid w:val="002252BD"/>
    <w:rsid w:val="002274D9"/>
    <w:rsid w:val="00227BA1"/>
    <w:rsid w:val="00230EA2"/>
    <w:rsid w:val="0023347E"/>
    <w:rsid w:val="00234DAC"/>
    <w:rsid w:val="00241555"/>
    <w:rsid w:val="002441C6"/>
    <w:rsid w:val="0024447C"/>
    <w:rsid w:val="002449A1"/>
    <w:rsid w:val="0024592F"/>
    <w:rsid w:val="00245DA6"/>
    <w:rsid w:val="0024696A"/>
    <w:rsid w:val="00251642"/>
    <w:rsid w:val="00255140"/>
    <w:rsid w:val="002561EF"/>
    <w:rsid w:val="00257563"/>
    <w:rsid w:val="00257E0D"/>
    <w:rsid w:val="002605C0"/>
    <w:rsid w:val="00260A10"/>
    <w:rsid w:val="00260D7C"/>
    <w:rsid w:val="00261406"/>
    <w:rsid w:val="00261C11"/>
    <w:rsid w:val="00262857"/>
    <w:rsid w:val="00265CD5"/>
    <w:rsid w:val="00266900"/>
    <w:rsid w:val="00271BCB"/>
    <w:rsid w:val="00275270"/>
    <w:rsid w:val="0027600D"/>
    <w:rsid w:val="0028056A"/>
    <w:rsid w:val="0028414D"/>
    <w:rsid w:val="002852EE"/>
    <w:rsid w:val="0029175A"/>
    <w:rsid w:val="0029179F"/>
    <w:rsid w:val="00292326"/>
    <w:rsid w:val="00295361"/>
    <w:rsid w:val="00296348"/>
    <w:rsid w:val="00296E01"/>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50F6"/>
    <w:rsid w:val="002D76B2"/>
    <w:rsid w:val="002D7905"/>
    <w:rsid w:val="002D7B20"/>
    <w:rsid w:val="002E1476"/>
    <w:rsid w:val="002E1BFC"/>
    <w:rsid w:val="002E202C"/>
    <w:rsid w:val="002E3299"/>
    <w:rsid w:val="002E46DC"/>
    <w:rsid w:val="002E4985"/>
    <w:rsid w:val="002E4D5E"/>
    <w:rsid w:val="002E4E8F"/>
    <w:rsid w:val="002E64CC"/>
    <w:rsid w:val="002F01B1"/>
    <w:rsid w:val="002F04E4"/>
    <w:rsid w:val="002F0545"/>
    <w:rsid w:val="002F1A53"/>
    <w:rsid w:val="002F1F44"/>
    <w:rsid w:val="002F3568"/>
    <w:rsid w:val="002F3CF5"/>
    <w:rsid w:val="002F6E3F"/>
    <w:rsid w:val="002F715D"/>
    <w:rsid w:val="002F7AB9"/>
    <w:rsid w:val="0030157A"/>
    <w:rsid w:val="003016B3"/>
    <w:rsid w:val="00302995"/>
    <w:rsid w:val="00303D3D"/>
    <w:rsid w:val="0031077E"/>
    <w:rsid w:val="00314A41"/>
    <w:rsid w:val="00314B46"/>
    <w:rsid w:val="003158D0"/>
    <w:rsid w:val="0031712B"/>
    <w:rsid w:val="0032092A"/>
    <w:rsid w:val="00321528"/>
    <w:rsid w:val="00321717"/>
    <w:rsid w:val="00321D5F"/>
    <w:rsid w:val="003257CB"/>
    <w:rsid w:val="00330E7E"/>
    <w:rsid w:val="00330EF0"/>
    <w:rsid w:val="00333C15"/>
    <w:rsid w:val="00337023"/>
    <w:rsid w:val="003376C4"/>
    <w:rsid w:val="00340BCF"/>
    <w:rsid w:val="00342D9D"/>
    <w:rsid w:val="00342E7E"/>
    <w:rsid w:val="003440CB"/>
    <w:rsid w:val="00347CC3"/>
    <w:rsid w:val="003504A0"/>
    <w:rsid w:val="00350DED"/>
    <w:rsid w:val="00350FE9"/>
    <w:rsid w:val="00352A1D"/>
    <w:rsid w:val="0035315E"/>
    <w:rsid w:val="00353816"/>
    <w:rsid w:val="00361CCF"/>
    <w:rsid w:val="00361F0C"/>
    <w:rsid w:val="00362E0A"/>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06070"/>
    <w:rsid w:val="00407AA7"/>
    <w:rsid w:val="0041273F"/>
    <w:rsid w:val="004162E6"/>
    <w:rsid w:val="004175FA"/>
    <w:rsid w:val="0042204E"/>
    <w:rsid w:val="00422073"/>
    <w:rsid w:val="004230B4"/>
    <w:rsid w:val="00426325"/>
    <w:rsid w:val="00426691"/>
    <w:rsid w:val="004268C4"/>
    <w:rsid w:val="00427C68"/>
    <w:rsid w:val="004310AC"/>
    <w:rsid w:val="004364F5"/>
    <w:rsid w:val="00437A33"/>
    <w:rsid w:val="004414AC"/>
    <w:rsid w:val="00443A8C"/>
    <w:rsid w:val="0044476E"/>
    <w:rsid w:val="00445E16"/>
    <w:rsid w:val="004469A3"/>
    <w:rsid w:val="00447D52"/>
    <w:rsid w:val="00450C4E"/>
    <w:rsid w:val="00450F8F"/>
    <w:rsid w:val="0045270B"/>
    <w:rsid w:val="00453B1E"/>
    <w:rsid w:val="00454C45"/>
    <w:rsid w:val="00456EAE"/>
    <w:rsid w:val="00462373"/>
    <w:rsid w:val="004624BE"/>
    <w:rsid w:val="00463A43"/>
    <w:rsid w:val="00465A92"/>
    <w:rsid w:val="004663D3"/>
    <w:rsid w:val="004679CE"/>
    <w:rsid w:val="00470270"/>
    <w:rsid w:val="00471BF2"/>
    <w:rsid w:val="00471CBF"/>
    <w:rsid w:val="00472046"/>
    <w:rsid w:val="00473D2D"/>
    <w:rsid w:val="004740F6"/>
    <w:rsid w:val="00477914"/>
    <w:rsid w:val="0048136E"/>
    <w:rsid w:val="00483CEE"/>
    <w:rsid w:val="00485AD1"/>
    <w:rsid w:val="00486AA5"/>
    <w:rsid w:val="00486B7F"/>
    <w:rsid w:val="004878DF"/>
    <w:rsid w:val="00491DAD"/>
    <w:rsid w:val="00492830"/>
    <w:rsid w:val="004932B6"/>
    <w:rsid w:val="004941D9"/>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4B6"/>
    <w:rsid w:val="004E0748"/>
    <w:rsid w:val="004E2A3E"/>
    <w:rsid w:val="004E728E"/>
    <w:rsid w:val="004F0AAB"/>
    <w:rsid w:val="004F23F6"/>
    <w:rsid w:val="004F2F0B"/>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5C1D"/>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0BC"/>
    <w:rsid w:val="00556212"/>
    <w:rsid w:val="005606AC"/>
    <w:rsid w:val="005626D9"/>
    <w:rsid w:val="005669D8"/>
    <w:rsid w:val="0057022C"/>
    <w:rsid w:val="0057138A"/>
    <w:rsid w:val="00572B6E"/>
    <w:rsid w:val="00572E88"/>
    <w:rsid w:val="00574C99"/>
    <w:rsid w:val="005762B0"/>
    <w:rsid w:val="00576F4D"/>
    <w:rsid w:val="00576FD2"/>
    <w:rsid w:val="00577E22"/>
    <w:rsid w:val="00581F18"/>
    <w:rsid w:val="005824CB"/>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5952"/>
    <w:rsid w:val="00596D1A"/>
    <w:rsid w:val="005A091D"/>
    <w:rsid w:val="005A0E6B"/>
    <w:rsid w:val="005A31F5"/>
    <w:rsid w:val="005A65C8"/>
    <w:rsid w:val="005A70E4"/>
    <w:rsid w:val="005B05DC"/>
    <w:rsid w:val="005B3A36"/>
    <w:rsid w:val="005B3AB2"/>
    <w:rsid w:val="005B48E9"/>
    <w:rsid w:val="005B5847"/>
    <w:rsid w:val="005B5D60"/>
    <w:rsid w:val="005B69C2"/>
    <w:rsid w:val="005C0687"/>
    <w:rsid w:val="005C27A1"/>
    <w:rsid w:val="005C2FEE"/>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183A"/>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975B2"/>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2A02"/>
    <w:rsid w:val="006E3A9C"/>
    <w:rsid w:val="006E4FFC"/>
    <w:rsid w:val="006E555E"/>
    <w:rsid w:val="006E6842"/>
    <w:rsid w:val="006F038D"/>
    <w:rsid w:val="006F4239"/>
    <w:rsid w:val="006F7CCC"/>
    <w:rsid w:val="00700CD4"/>
    <w:rsid w:val="00700EA9"/>
    <w:rsid w:val="0070255A"/>
    <w:rsid w:val="00705BEF"/>
    <w:rsid w:val="00706179"/>
    <w:rsid w:val="007113DD"/>
    <w:rsid w:val="00712B84"/>
    <w:rsid w:val="0071430B"/>
    <w:rsid w:val="00714822"/>
    <w:rsid w:val="00714B68"/>
    <w:rsid w:val="00720256"/>
    <w:rsid w:val="00720659"/>
    <w:rsid w:val="007216E8"/>
    <w:rsid w:val="0072201D"/>
    <w:rsid w:val="00722244"/>
    <w:rsid w:val="00724F89"/>
    <w:rsid w:val="007307A9"/>
    <w:rsid w:val="00730E38"/>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3500"/>
    <w:rsid w:val="00784A14"/>
    <w:rsid w:val="00785621"/>
    <w:rsid w:val="00785B98"/>
    <w:rsid w:val="00785C31"/>
    <w:rsid w:val="00786093"/>
    <w:rsid w:val="00790157"/>
    <w:rsid w:val="0079282E"/>
    <w:rsid w:val="00793276"/>
    <w:rsid w:val="007A01B4"/>
    <w:rsid w:val="007A03BE"/>
    <w:rsid w:val="007A07E5"/>
    <w:rsid w:val="007A136C"/>
    <w:rsid w:val="007A385D"/>
    <w:rsid w:val="007A386A"/>
    <w:rsid w:val="007A3E79"/>
    <w:rsid w:val="007A463F"/>
    <w:rsid w:val="007A63CA"/>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338A"/>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7F7E66"/>
    <w:rsid w:val="00800241"/>
    <w:rsid w:val="00802548"/>
    <w:rsid w:val="00802890"/>
    <w:rsid w:val="00802957"/>
    <w:rsid w:val="00802B47"/>
    <w:rsid w:val="008062A9"/>
    <w:rsid w:val="00811B0B"/>
    <w:rsid w:val="00813869"/>
    <w:rsid w:val="008140FD"/>
    <w:rsid w:val="00814AA6"/>
    <w:rsid w:val="008153A8"/>
    <w:rsid w:val="0082152D"/>
    <w:rsid w:val="00823389"/>
    <w:rsid w:val="008267EE"/>
    <w:rsid w:val="008302B3"/>
    <w:rsid w:val="0083050D"/>
    <w:rsid w:val="008323A2"/>
    <w:rsid w:val="00832E9B"/>
    <w:rsid w:val="008337B9"/>
    <w:rsid w:val="008376CD"/>
    <w:rsid w:val="00842CC4"/>
    <w:rsid w:val="008432ED"/>
    <w:rsid w:val="00843F7D"/>
    <w:rsid w:val="008450F3"/>
    <w:rsid w:val="0084547A"/>
    <w:rsid w:val="00847D03"/>
    <w:rsid w:val="008534C0"/>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5C61"/>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B67E3"/>
    <w:rsid w:val="008C1F77"/>
    <w:rsid w:val="008C3226"/>
    <w:rsid w:val="008C32CE"/>
    <w:rsid w:val="008C551F"/>
    <w:rsid w:val="008C74E3"/>
    <w:rsid w:val="008D1223"/>
    <w:rsid w:val="008D323E"/>
    <w:rsid w:val="008D37FF"/>
    <w:rsid w:val="008D3CFE"/>
    <w:rsid w:val="008D43EB"/>
    <w:rsid w:val="008D476B"/>
    <w:rsid w:val="008D4F85"/>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1C3E"/>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DFF"/>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50DC"/>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32E3"/>
    <w:rsid w:val="009F4229"/>
    <w:rsid w:val="009F572C"/>
    <w:rsid w:val="009F60C6"/>
    <w:rsid w:val="009F784B"/>
    <w:rsid w:val="009F7FCB"/>
    <w:rsid w:val="00A00B17"/>
    <w:rsid w:val="00A0136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BE0"/>
    <w:rsid w:val="00B24FF7"/>
    <w:rsid w:val="00B25051"/>
    <w:rsid w:val="00B2543C"/>
    <w:rsid w:val="00B26192"/>
    <w:rsid w:val="00B262CD"/>
    <w:rsid w:val="00B27809"/>
    <w:rsid w:val="00B316D1"/>
    <w:rsid w:val="00B31A0A"/>
    <w:rsid w:val="00B3303F"/>
    <w:rsid w:val="00B333D6"/>
    <w:rsid w:val="00B33B11"/>
    <w:rsid w:val="00B33C5E"/>
    <w:rsid w:val="00B35002"/>
    <w:rsid w:val="00B368E2"/>
    <w:rsid w:val="00B40A66"/>
    <w:rsid w:val="00B41090"/>
    <w:rsid w:val="00B41ACD"/>
    <w:rsid w:val="00B42C5F"/>
    <w:rsid w:val="00B42F30"/>
    <w:rsid w:val="00B433F4"/>
    <w:rsid w:val="00B437EA"/>
    <w:rsid w:val="00B43D42"/>
    <w:rsid w:val="00B50955"/>
    <w:rsid w:val="00B50CF4"/>
    <w:rsid w:val="00B55748"/>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A36D8"/>
    <w:rsid w:val="00BA45DA"/>
    <w:rsid w:val="00BB0CAA"/>
    <w:rsid w:val="00BB11A8"/>
    <w:rsid w:val="00BB2026"/>
    <w:rsid w:val="00BB2917"/>
    <w:rsid w:val="00BC1BD9"/>
    <w:rsid w:val="00BC287E"/>
    <w:rsid w:val="00BC2BC9"/>
    <w:rsid w:val="00BC313D"/>
    <w:rsid w:val="00BC33E4"/>
    <w:rsid w:val="00BC3B43"/>
    <w:rsid w:val="00BC52DF"/>
    <w:rsid w:val="00BC5535"/>
    <w:rsid w:val="00BD0BB7"/>
    <w:rsid w:val="00BD1289"/>
    <w:rsid w:val="00BD1FBF"/>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1760C"/>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92253"/>
    <w:rsid w:val="00CA0B67"/>
    <w:rsid w:val="00CA2A8B"/>
    <w:rsid w:val="00CA2C8C"/>
    <w:rsid w:val="00CA35F4"/>
    <w:rsid w:val="00CA3AAF"/>
    <w:rsid w:val="00CA3B29"/>
    <w:rsid w:val="00CA3F61"/>
    <w:rsid w:val="00CA65E9"/>
    <w:rsid w:val="00CB4339"/>
    <w:rsid w:val="00CB49F9"/>
    <w:rsid w:val="00CB6A55"/>
    <w:rsid w:val="00CC06D4"/>
    <w:rsid w:val="00CC1667"/>
    <w:rsid w:val="00CC1890"/>
    <w:rsid w:val="00CC33CC"/>
    <w:rsid w:val="00CC3AAF"/>
    <w:rsid w:val="00CC480B"/>
    <w:rsid w:val="00CC72C5"/>
    <w:rsid w:val="00CC7310"/>
    <w:rsid w:val="00CD1A18"/>
    <w:rsid w:val="00CD20F4"/>
    <w:rsid w:val="00CD332E"/>
    <w:rsid w:val="00CD41C2"/>
    <w:rsid w:val="00CD521B"/>
    <w:rsid w:val="00CE06FC"/>
    <w:rsid w:val="00CE0E96"/>
    <w:rsid w:val="00CE26EF"/>
    <w:rsid w:val="00CE4335"/>
    <w:rsid w:val="00CE665F"/>
    <w:rsid w:val="00CF1574"/>
    <w:rsid w:val="00CF197E"/>
    <w:rsid w:val="00CF2158"/>
    <w:rsid w:val="00CF2467"/>
    <w:rsid w:val="00CF3719"/>
    <w:rsid w:val="00CF3A6A"/>
    <w:rsid w:val="00CF5040"/>
    <w:rsid w:val="00CF64B9"/>
    <w:rsid w:val="00D0229F"/>
    <w:rsid w:val="00D024BD"/>
    <w:rsid w:val="00D03331"/>
    <w:rsid w:val="00D073EA"/>
    <w:rsid w:val="00D117A9"/>
    <w:rsid w:val="00D11EA9"/>
    <w:rsid w:val="00D12776"/>
    <w:rsid w:val="00D12D35"/>
    <w:rsid w:val="00D13B46"/>
    <w:rsid w:val="00D1423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27CF"/>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8779B"/>
    <w:rsid w:val="00D9196B"/>
    <w:rsid w:val="00D93FF6"/>
    <w:rsid w:val="00D94187"/>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7B9"/>
    <w:rsid w:val="00E04E2C"/>
    <w:rsid w:val="00E05FBF"/>
    <w:rsid w:val="00E0694A"/>
    <w:rsid w:val="00E07A31"/>
    <w:rsid w:val="00E11850"/>
    <w:rsid w:val="00E16CFF"/>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47D"/>
    <w:rsid w:val="00E53FC7"/>
    <w:rsid w:val="00E5672F"/>
    <w:rsid w:val="00E56CE3"/>
    <w:rsid w:val="00E61308"/>
    <w:rsid w:val="00E61E70"/>
    <w:rsid w:val="00E632DC"/>
    <w:rsid w:val="00E64653"/>
    <w:rsid w:val="00E64D3E"/>
    <w:rsid w:val="00E66B08"/>
    <w:rsid w:val="00E671E9"/>
    <w:rsid w:val="00E67E38"/>
    <w:rsid w:val="00E74FEC"/>
    <w:rsid w:val="00E7533C"/>
    <w:rsid w:val="00E76995"/>
    <w:rsid w:val="00E80E43"/>
    <w:rsid w:val="00E82660"/>
    <w:rsid w:val="00E8311C"/>
    <w:rsid w:val="00E84F51"/>
    <w:rsid w:val="00E85D07"/>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67CF"/>
    <w:rsid w:val="00EB7BFA"/>
    <w:rsid w:val="00EB7ED2"/>
    <w:rsid w:val="00EC1B63"/>
    <w:rsid w:val="00EC3B2E"/>
    <w:rsid w:val="00EC43C8"/>
    <w:rsid w:val="00EC50AC"/>
    <w:rsid w:val="00EC515F"/>
    <w:rsid w:val="00EC5B1E"/>
    <w:rsid w:val="00ED1806"/>
    <w:rsid w:val="00ED205C"/>
    <w:rsid w:val="00ED36BD"/>
    <w:rsid w:val="00ED3F02"/>
    <w:rsid w:val="00ED457C"/>
    <w:rsid w:val="00ED4951"/>
    <w:rsid w:val="00ED73AE"/>
    <w:rsid w:val="00EE0709"/>
    <w:rsid w:val="00EE0B92"/>
    <w:rsid w:val="00EE0E07"/>
    <w:rsid w:val="00EE0F0E"/>
    <w:rsid w:val="00EE12C8"/>
    <w:rsid w:val="00EE2093"/>
    <w:rsid w:val="00EE2860"/>
    <w:rsid w:val="00EE68D2"/>
    <w:rsid w:val="00EF064D"/>
    <w:rsid w:val="00EF0FC3"/>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5AC2"/>
    <w:rsid w:val="00F66A6D"/>
    <w:rsid w:val="00F707BD"/>
    <w:rsid w:val="00F72010"/>
    <w:rsid w:val="00F72239"/>
    <w:rsid w:val="00F7332D"/>
    <w:rsid w:val="00F7477C"/>
    <w:rsid w:val="00F76428"/>
    <w:rsid w:val="00F76C07"/>
    <w:rsid w:val="00F77798"/>
    <w:rsid w:val="00F77B4D"/>
    <w:rsid w:val="00F81471"/>
    <w:rsid w:val="00F820F7"/>
    <w:rsid w:val="00F83A44"/>
    <w:rsid w:val="00F85C22"/>
    <w:rsid w:val="00F867B6"/>
    <w:rsid w:val="00F86B12"/>
    <w:rsid w:val="00F87AC6"/>
    <w:rsid w:val="00F9085A"/>
    <w:rsid w:val="00F91B05"/>
    <w:rsid w:val="00F93FDA"/>
    <w:rsid w:val="00F94E53"/>
    <w:rsid w:val="00F959D8"/>
    <w:rsid w:val="00F979AC"/>
    <w:rsid w:val="00FA038F"/>
    <w:rsid w:val="00FA0BEC"/>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145A"/>
    <w:rsid w:val="00FE2B9E"/>
    <w:rsid w:val="00FE6123"/>
    <w:rsid w:val="00FE6555"/>
    <w:rsid w:val="00FE6E03"/>
    <w:rsid w:val="00FE7B58"/>
    <w:rsid w:val="00FF0536"/>
    <w:rsid w:val="00FF1681"/>
    <w:rsid w:val="00FF51E1"/>
    <w:rsid w:val="00FF5862"/>
    <w:rsid w:val="018C085F"/>
    <w:rsid w:val="019C584F"/>
    <w:rsid w:val="024E2F25"/>
    <w:rsid w:val="025A3D59"/>
    <w:rsid w:val="02A7794B"/>
    <w:rsid w:val="035756EB"/>
    <w:rsid w:val="0365642C"/>
    <w:rsid w:val="03F50025"/>
    <w:rsid w:val="04053B9B"/>
    <w:rsid w:val="043F79E2"/>
    <w:rsid w:val="052678D2"/>
    <w:rsid w:val="057235E5"/>
    <w:rsid w:val="05A827C4"/>
    <w:rsid w:val="05C72C4A"/>
    <w:rsid w:val="05F3327E"/>
    <w:rsid w:val="06DF3581"/>
    <w:rsid w:val="07632D89"/>
    <w:rsid w:val="081C1045"/>
    <w:rsid w:val="08421F6D"/>
    <w:rsid w:val="08570A06"/>
    <w:rsid w:val="09942CFE"/>
    <w:rsid w:val="0B081D22"/>
    <w:rsid w:val="0CD410C8"/>
    <w:rsid w:val="0D257059"/>
    <w:rsid w:val="0D7E0753"/>
    <w:rsid w:val="0D9328DD"/>
    <w:rsid w:val="0E6B3A4F"/>
    <w:rsid w:val="0F54544C"/>
    <w:rsid w:val="0FF53A7F"/>
    <w:rsid w:val="10D27A7E"/>
    <w:rsid w:val="1170576E"/>
    <w:rsid w:val="12D20E80"/>
    <w:rsid w:val="12EF32F4"/>
    <w:rsid w:val="136E6DCF"/>
    <w:rsid w:val="141E1656"/>
    <w:rsid w:val="1633660B"/>
    <w:rsid w:val="16F349C8"/>
    <w:rsid w:val="17EF28D6"/>
    <w:rsid w:val="18221EAC"/>
    <w:rsid w:val="182C352A"/>
    <w:rsid w:val="18847640"/>
    <w:rsid w:val="19E0690A"/>
    <w:rsid w:val="1A606D71"/>
    <w:rsid w:val="1A850214"/>
    <w:rsid w:val="1A8938E2"/>
    <w:rsid w:val="1B237141"/>
    <w:rsid w:val="1C5D01D3"/>
    <w:rsid w:val="1D1C1F66"/>
    <w:rsid w:val="1D206455"/>
    <w:rsid w:val="1D2B6DAD"/>
    <w:rsid w:val="1D4E2CAF"/>
    <w:rsid w:val="1D685B5E"/>
    <w:rsid w:val="1DD30ECA"/>
    <w:rsid w:val="1E426B4C"/>
    <w:rsid w:val="1F0F6D1D"/>
    <w:rsid w:val="1F170346"/>
    <w:rsid w:val="1F355F6A"/>
    <w:rsid w:val="210E19AF"/>
    <w:rsid w:val="215E19DD"/>
    <w:rsid w:val="21643BFE"/>
    <w:rsid w:val="217863CD"/>
    <w:rsid w:val="21BD4094"/>
    <w:rsid w:val="21F539D5"/>
    <w:rsid w:val="23926BF3"/>
    <w:rsid w:val="23AB62D5"/>
    <w:rsid w:val="23DD59D7"/>
    <w:rsid w:val="244F102D"/>
    <w:rsid w:val="245F0FC8"/>
    <w:rsid w:val="24776664"/>
    <w:rsid w:val="247E61D7"/>
    <w:rsid w:val="259671F9"/>
    <w:rsid w:val="25BD0EF9"/>
    <w:rsid w:val="262D7038"/>
    <w:rsid w:val="26BE3BD1"/>
    <w:rsid w:val="27201032"/>
    <w:rsid w:val="27C61B43"/>
    <w:rsid w:val="27F94677"/>
    <w:rsid w:val="29591D17"/>
    <w:rsid w:val="298E1762"/>
    <w:rsid w:val="29BD6E35"/>
    <w:rsid w:val="2B62521D"/>
    <w:rsid w:val="2B9C2F81"/>
    <w:rsid w:val="2BAC32B5"/>
    <w:rsid w:val="2C3D6F12"/>
    <w:rsid w:val="2CAA1FEC"/>
    <w:rsid w:val="2D28660D"/>
    <w:rsid w:val="2E9F27F8"/>
    <w:rsid w:val="2F0958AB"/>
    <w:rsid w:val="31C93C17"/>
    <w:rsid w:val="32650F71"/>
    <w:rsid w:val="335C2374"/>
    <w:rsid w:val="33787F55"/>
    <w:rsid w:val="33C148CD"/>
    <w:rsid w:val="34083B46"/>
    <w:rsid w:val="345011CA"/>
    <w:rsid w:val="351E1E35"/>
    <w:rsid w:val="36193484"/>
    <w:rsid w:val="36226798"/>
    <w:rsid w:val="36363A93"/>
    <w:rsid w:val="364A2160"/>
    <w:rsid w:val="39C36949"/>
    <w:rsid w:val="39F30EC3"/>
    <w:rsid w:val="3A2E68EE"/>
    <w:rsid w:val="3A7C5D29"/>
    <w:rsid w:val="3AA47377"/>
    <w:rsid w:val="3B673A47"/>
    <w:rsid w:val="3C4D13F4"/>
    <w:rsid w:val="3C91192E"/>
    <w:rsid w:val="3CC56B5D"/>
    <w:rsid w:val="3DA142FF"/>
    <w:rsid w:val="3DD03521"/>
    <w:rsid w:val="3E223BB7"/>
    <w:rsid w:val="3EDC341C"/>
    <w:rsid w:val="3EF44CD0"/>
    <w:rsid w:val="3F7B60DD"/>
    <w:rsid w:val="3FD02D78"/>
    <w:rsid w:val="407F52E0"/>
    <w:rsid w:val="408C61B1"/>
    <w:rsid w:val="409C64A6"/>
    <w:rsid w:val="40FD3681"/>
    <w:rsid w:val="4148218A"/>
    <w:rsid w:val="41B4453B"/>
    <w:rsid w:val="420E5181"/>
    <w:rsid w:val="42836989"/>
    <w:rsid w:val="42B85153"/>
    <w:rsid w:val="433B0AA7"/>
    <w:rsid w:val="43770B04"/>
    <w:rsid w:val="455C39C2"/>
    <w:rsid w:val="46763125"/>
    <w:rsid w:val="46E44E71"/>
    <w:rsid w:val="47524326"/>
    <w:rsid w:val="47885EB9"/>
    <w:rsid w:val="4794153F"/>
    <w:rsid w:val="49D255C4"/>
    <w:rsid w:val="4A282B58"/>
    <w:rsid w:val="4A5850FA"/>
    <w:rsid w:val="4C1710D6"/>
    <w:rsid w:val="4C9D782D"/>
    <w:rsid w:val="4CBB2F66"/>
    <w:rsid w:val="4E402B66"/>
    <w:rsid w:val="4F5C19EC"/>
    <w:rsid w:val="51386675"/>
    <w:rsid w:val="51B24B0E"/>
    <w:rsid w:val="51FD57A1"/>
    <w:rsid w:val="523104CA"/>
    <w:rsid w:val="52563AF9"/>
    <w:rsid w:val="52AE775C"/>
    <w:rsid w:val="531D5B22"/>
    <w:rsid w:val="538F119C"/>
    <w:rsid w:val="539D750B"/>
    <w:rsid w:val="53AC58A5"/>
    <w:rsid w:val="54552A1C"/>
    <w:rsid w:val="54E0537E"/>
    <w:rsid w:val="54F268F7"/>
    <w:rsid w:val="55C74D2F"/>
    <w:rsid w:val="572E32B3"/>
    <w:rsid w:val="584C59AB"/>
    <w:rsid w:val="58D90834"/>
    <w:rsid w:val="591C0961"/>
    <w:rsid w:val="595EE596"/>
    <w:rsid w:val="59C60A40"/>
    <w:rsid w:val="59ED6182"/>
    <w:rsid w:val="5A233438"/>
    <w:rsid w:val="5AAC53F5"/>
    <w:rsid w:val="5B6175C0"/>
    <w:rsid w:val="5C0A1E9A"/>
    <w:rsid w:val="5C593EAF"/>
    <w:rsid w:val="5D63417B"/>
    <w:rsid w:val="5DDE3802"/>
    <w:rsid w:val="5E455141"/>
    <w:rsid w:val="5F146FE1"/>
    <w:rsid w:val="5F645F89"/>
    <w:rsid w:val="60C76A50"/>
    <w:rsid w:val="60FE76C2"/>
    <w:rsid w:val="634C1065"/>
    <w:rsid w:val="634E1302"/>
    <w:rsid w:val="63DA4A6C"/>
    <w:rsid w:val="646E0AD0"/>
    <w:rsid w:val="64DC4668"/>
    <w:rsid w:val="67851845"/>
    <w:rsid w:val="68FE630D"/>
    <w:rsid w:val="69540864"/>
    <w:rsid w:val="69B54F45"/>
    <w:rsid w:val="6AED6BFB"/>
    <w:rsid w:val="6C9C4FB4"/>
    <w:rsid w:val="6CFC2298"/>
    <w:rsid w:val="6E001286"/>
    <w:rsid w:val="6E5C19CE"/>
    <w:rsid w:val="6ED70525"/>
    <w:rsid w:val="6F1B7BBE"/>
    <w:rsid w:val="6F677815"/>
    <w:rsid w:val="6FDE3B11"/>
    <w:rsid w:val="6FE37924"/>
    <w:rsid w:val="6FF84353"/>
    <w:rsid w:val="6FFB92A4"/>
    <w:rsid w:val="703216A4"/>
    <w:rsid w:val="706D03F4"/>
    <w:rsid w:val="722320F1"/>
    <w:rsid w:val="72DA4A37"/>
    <w:rsid w:val="73120C63"/>
    <w:rsid w:val="7419513C"/>
    <w:rsid w:val="746551D1"/>
    <w:rsid w:val="74A30DC0"/>
    <w:rsid w:val="75585A1A"/>
    <w:rsid w:val="762A7CB2"/>
    <w:rsid w:val="77507158"/>
    <w:rsid w:val="7757048B"/>
    <w:rsid w:val="77811F60"/>
    <w:rsid w:val="77892036"/>
    <w:rsid w:val="77B530EB"/>
    <w:rsid w:val="77DC456C"/>
    <w:rsid w:val="77DF044B"/>
    <w:rsid w:val="78467810"/>
    <w:rsid w:val="786A240A"/>
    <w:rsid w:val="788C31A4"/>
    <w:rsid w:val="79756C05"/>
    <w:rsid w:val="7A6B664D"/>
    <w:rsid w:val="7A903C7E"/>
    <w:rsid w:val="7AB0300D"/>
    <w:rsid w:val="7B2C1BF9"/>
    <w:rsid w:val="7C3F43E5"/>
    <w:rsid w:val="7CF14597"/>
    <w:rsid w:val="7D7627DE"/>
    <w:rsid w:val="7F3D4D8D"/>
    <w:rsid w:val="7FB748FD"/>
    <w:rsid w:val="7FF963E6"/>
    <w:rsid w:val="87E35F76"/>
    <w:rsid w:val="AF662CCF"/>
    <w:rsid w:val="BE1FF691"/>
    <w:rsid w:val="BFB37735"/>
    <w:rsid w:val="FCFF3881"/>
    <w:rsid w:val="FDFBC2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outlineLvl w:val="1"/>
    </w:pPr>
    <w:rPr>
      <w:rFonts w:ascii="宋体" w:hAnsi="宋体" w:cs="宋体"/>
      <w:b/>
      <w:bCs/>
      <w:kern w:val="0"/>
      <w:sz w:val="36"/>
      <w:szCs w:val="36"/>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23"/>
    <w:qFormat/>
    <w:uiPriority w:val="0"/>
  </w:style>
  <w:style w:type="paragraph" w:styleId="4">
    <w:name w:val="Body Text"/>
    <w:basedOn w:val="1"/>
    <w:semiHidden/>
    <w:qFormat/>
    <w:uiPriority w:val="0"/>
  </w:style>
  <w:style w:type="paragraph" w:styleId="5">
    <w:name w:val="Body Text Indent"/>
    <w:basedOn w:val="1"/>
    <w:qFormat/>
    <w:uiPriority w:val="0"/>
    <w:pPr>
      <w:widowControl/>
      <w:spacing w:before="100" w:beforeAutospacing="1" w:after="100" w:afterAutospacing="1"/>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pPr>
    <w:rPr>
      <w:rFonts w:ascii="宋体" w:hAnsi="宋体" w:cs="宋体"/>
      <w:kern w:val="0"/>
      <w:sz w:val="24"/>
    </w:rPr>
  </w:style>
  <w:style w:type="paragraph" w:styleId="11">
    <w:name w:val="annotation subject"/>
    <w:basedOn w:val="3"/>
    <w:next w:val="3"/>
    <w:link w:val="24"/>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Emphasis"/>
    <w:basedOn w:val="14"/>
    <w:qFormat/>
    <w:uiPriority w:val="20"/>
    <w:rPr>
      <w:i/>
      <w:iCs/>
    </w:rPr>
  </w:style>
  <w:style w:type="character" w:styleId="17">
    <w:name w:val="Hyperlink"/>
    <w:qFormat/>
    <w:uiPriority w:val="0"/>
    <w:rPr>
      <w:color w:val="0068B7"/>
      <w:u w:val="none"/>
    </w:rPr>
  </w:style>
  <w:style w:type="character" w:styleId="18">
    <w:name w:val="annotation reference"/>
    <w:basedOn w:val="14"/>
    <w:qFormat/>
    <w:uiPriority w:val="0"/>
    <w:rPr>
      <w:sz w:val="21"/>
      <w:szCs w:val="21"/>
    </w:rPr>
  </w:style>
  <w:style w:type="character" w:customStyle="1" w:styleId="19">
    <w:name w:val="141"/>
    <w:qFormat/>
    <w:uiPriority w:val="0"/>
    <w:rPr>
      <w:sz w:val="21"/>
      <w:szCs w:val="21"/>
    </w:rPr>
  </w:style>
  <w:style w:type="character" w:customStyle="1" w:styleId="20">
    <w:name w:val="ztag pre"/>
    <w:basedOn w:val="14"/>
    <w:qFormat/>
    <w:uiPriority w:val="0"/>
  </w:style>
  <w:style w:type="character" w:customStyle="1" w:styleId="21">
    <w:name w:val="已访问的超链接1"/>
    <w:qFormat/>
    <w:uiPriority w:val="0"/>
    <w:rPr>
      <w:color w:val="800080"/>
      <w:u w:val="single"/>
    </w:rPr>
  </w:style>
  <w:style w:type="paragraph" w:styleId="22">
    <w:name w:val="List Paragraph"/>
    <w:basedOn w:val="1"/>
    <w:qFormat/>
    <w:uiPriority w:val="34"/>
    <w:pPr>
      <w:widowControl/>
      <w:numPr>
        <w:ilvl w:val="0"/>
        <w:numId w:val="1"/>
      </w:numPr>
      <w:ind w:left="210" w:leftChars="100" w:right="210" w:rightChars="100" w:firstLine="420"/>
    </w:pPr>
  </w:style>
  <w:style w:type="character" w:customStyle="1" w:styleId="23">
    <w:name w:val="批注文字 字符"/>
    <w:basedOn w:val="14"/>
    <w:link w:val="3"/>
    <w:qFormat/>
    <w:uiPriority w:val="0"/>
    <w:rPr>
      <w:kern w:val="2"/>
      <w:sz w:val="21"/>
      <w:szCs w:val="24"/>
    </w:rPr>
  </w:style>
  <w:style w:type="character" w:customStyle="1" w:styleId="24">
    <w:name w:val="批注主题 字符"/>
    <w:basedOn w:val="23"/>
    <w:link w:val="11"/>
    <w:qFormat/>
    <w:uiPriority w:val="0"/>
    <w:rPr>
      <w:b/>
      <w:bCs/>
      <w:kern w:val="2"/>
      <w:sz w:val="21"/>
      <w:szCs w:val="24"/>
    </w:rPr>
  </w:style>
  <w:style w:type="character" w:customStyle="1" w:styleId="25">
    <w:name w:val="未处理的提及1"/>
    <w:basedOn w:val="14"/>
    <w:qFormat/>
    <w:uiPriority w:val="0"/>
    <w:rPr>
      <w:color w:val="605E5C"/>
      <w:shd w:val="clear" w:color="auto" w:fill="E1DFDD"/>
    </w:rPr>
  </w:style>
  <w:style w:type="paragraph" w:customStyle="1" w:styleId="26">
    <w:name w:val="Default"/>
    <w:qFormat/>
    <w:uiPriority w:val="0"/>
    <w:pPr>
      <w:widowControl w:val="0"/>
      <w:autoSpaceDE w:val="0"/>
      <w:autoSpaceDN w:val="0"/>
      <w:adjustRightInd w:val="0"/>
      <w:spacing w:line="360" w:lineRule="auto"/>
    </w:pPr>
    <w:rPr>
      <w:rFonts w:cs="宋体" w:asciiTheme="minorEastAsia" w:hAnsiTheme="minorEastAsia" w:eastAsiaTheme="minorEastAsia"/>
      <w:sz w:val="18"/>
      <w:szCs w:val="18"/>
      <w:lang w:val="en-US" w:eastAsia="zh-CN" w:bidi="ar-SA"/>
    </w:rPr>
  </w:style>
  <w:style w:type="paragraph" w:customStyle="1" w:styleId="27">
    <w:name w:val="无间隔1"/>
    <w:qFormat/>
    <w:uiPriority w:val="1"/>
    <w:rPr>
      <w:rFonts w:ascii="Calibri" w:hAnsi="Calibri" w:eastAsia="Calibri" w:cs="Times New Roman"/>
      <w:sz w:val="22"/>
      <w:szCs w:val="22"/>
      <w:lang w:val="en-US" w:eastAsia="en-US" w:bidi="ar-SA"/>
    </w:rPr>
  </w:style>
  <w:style w:type="paragraph" w:customStyle="1" w:styleId="28">
    <w:name w:val="Table Text"/>
    <w:basedOn w:val="1"/>
    <w:semiHidden/>
    <w:qFormat/>
    <w:uiPriority w:val="0"/>
    <w:pPr>
      <w:spacing w:before="168"/>
    </w:pPr>
    <w:rPr>
      <w:rFonts w:ascii="宋体" w:hAnsi="宋体" w:cs="宋体"/>
      <w:spacing w:val="-1"/>
      <w:szCs w:val="21"/>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5</Pages>
  <Words>2883</Words>
  <Characters>3321</Characters>
  <Lines>23</Lines>
  <Paragraphs>6</Paragraphs>
  <TotalTime>0</TotalTime>
  <ScaleCrop>false</ScaleCrop>
  <LinksUpToDate>false</LinksUpToDate>
  <CharactersWithSpaces>3493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2024-08-09T23:27:00Z</dcterms:created>
  <dc:creator>全美国际教育协会</dc:creator>
  <cp:lastModifiedBy>马月</cp:lastModifiedBy>
  <cp:lastPrinted>2011-12-19T08:54:00Z</cp:lastPrinted>
  <dcterms:modified xsi:type="dcterms:W3CDTF">2026-01-04T02:44:42Z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1CEA415F4710430195F7A000F3299691_13</vt:lpwstr>
  </property>
  <property fmtid="{D5CDD505-2E9C-101B-9397-08002B2CF9AE}" pid="4" name="KSOTemplateDocerSaveRecord">
    <vt:lpwstr>eyJoZGlkIjoiMTZhNjdhZDQ1NzNkYjc1ODgyMmQxZTBjYzRmMWFkNTUiLCJ1c2VySWQiOiI2ODAyNDkzOTcifQ==</vt:lpwstr>
  </property>
</Properties>
</file>