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BC88B">
      <w:pPr>
        <w:widowControl/>
        <w:tabs>
          <w:tab w:val="left" w:pos="4662"/>
        </w:tabs>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ab/>
      </w:r>
    </w:p>
    <w:p w14:paraId="3F54513B">
      <w:pPr>
        <w:widowControl/>
        <w:spacing w:line="360" w:lineRule="auto"/>
        <w:jc w:val="center"/>
        <w:rPr>
          <w:rFonts w:asciiTheme="minorHAnsi" w:hAnsiTheme="minorHAnsi" w:eastAsiaTheme="majorEastAsia" w:cstheme="minorHAnsi"/>
          <w:b/>
          <w:kern w:val="0"/>
          <w:sz w:val="32"/>
          <w:szCs w:val="21"/>
        </w:rPr>
      </w:pPr>
    </w:p>
    <w:p w14:paraId="6E4A5F1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5A4C69B1">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人工智能自动化技术与物联网机器人</w:t>
      </w:r>
    </w:p>
    <w:p w14:paraId="72F45ACD">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6062587A">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Modules for Robotics, Automation and Internet of Things</w:t>
      </w:r>
    </w:p>
    <w:p w14:paraId="1D97F676">
      <w:pPr>
        <w:widowControl/>
        <w:spacing w:line="360" w:lineRule="auto"/>
        <w:jc w:val="center"/>
        <w:rPr>
          <w:rFonts w:cs="Calibri" w:asciiTheme="minorHAnsi" w:hAnsiTheme="minorHAnsi"/>
          <w:b/>
          <w:kern w:val="0"/>
          <w:szCs w:val="21"/>
        </w:rPr>
      </w:pPr>
    </w:p>
    <w:p w14:paraId="6ACEAAA2">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73F2355F">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微处理器和微控制器的进步使人们能够在工业领域和社会生活中构建大规模的自动化系统，而机器人也可在其中发挥重要作用。特别是，微控制器的低成本使得智能传感器和智能执行器的出现成为可能，这反过来又推动了所谓的 "物联网"的广泛应用。</w:t>
      </w:r>
    </w:p>
    <w:p w14:paraId="4EAAC7D4">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本项目的目标是让学生掌握机器人技术的专业知识、自动化系统和联网智能设备的基础知识，这些知识可随时部署到工业和社会中。项目核心优势：</w:t>
      </w:r>
    </w:p>
    <w:p w14:paraId="62317486">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了解工业领域中的机器人和自动化系统； </w:t>
      </w:r>
    </w:p>
    <w:p w14:paraId="197F9FAB">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了解网络传感器、执行器和控制器；</w:t>
      </w:r>
    </w:p>
    <w:p w14:paraId="4DD8D58A">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了解工业中的机器人技术和自动化系统；</w:t>
      </w:r>
    </w:p>
    <w:p w14:paraId="52610AE2">
      <w:pPr>
        <w:widowControl/>
        <w:spacing w:line="360" w:lineRule="auto"/>
        <w:rPr>
          <w:rFonts w:asciiTheme="minorHAnsi" w:hAnsiTheme="minorHAnsi" w:eastAsiaTheme="majorEastAsia" w:cstheme="minorHAnsi"/>
          <w:kern w:val="0"/>
          <w:szCs w:val="21"/>
        </w:rPr>
      </w:pPr>
    </w:p>
    <w:p w14:paraId="77F47BA2">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为了让中国学生体验世界一流名校的学术氛围，南洋理工大学主办部门举办本次访学项目，由南洋理工大学在职教授授课，项目将开设「机器人运动系统与机械臂运动规划」、「工业自动化过程与自动化过程控制」、「人工智能与物联网技术」、「传感器与执行器」等相关主题，涵盖新加坡南洋理工大学特色专业课、小组讨论、结业项目展示等内容，最大程度的让学员在短时间体验南洋理工大学的学术特色，并做好成为机器人、自动化系统和物联网的用户和设计者的准备。 </w:t>
      </w:r>
    </w:p>
    <w:p w14:paraId="52BC2EA6">
      <w:pPr>
        <w:pStyle w:val="27"/>
        <w:spacing w:before="168" w:line="176" w:lineRule="auto"/>
        <w:rPr>
          <w:rFonts w:asciiTheme="minorHAnsi" w:hAnsiTheme="minorHAnsi" w:eastAsiaTheme="majorEastAsia" w:cstheme="minorHAnsi"/>
          <w:kern w:val="0"/>
          <w:szCs w:val="21"/>
          <w:lang w:eastAsia="zh-CN"/>
        </w:rPr>
      </w:pPr>
    </w:p>
    <w:p w14:paraId="1CB4E9D2">
      <w:pPr>
        <w:pStyle w:val="27"/>
        <w:spacing w:before="168" w:line="176" w:lineRule="auto"/>
        <w:rPr>
          <w:rFonts w:asciiTheme="minorHAnsi" w:hAnsiTheme="minorHAnsi" w:eastAsiaTheme="majorEastAsia" w:cstheme="minorHAnsi"/>
          <w:kern w:val="0"/>
          <w:szCs w:val="21"/>
          <w:lang w:eastAsia="zh-CN"/>
        </w:rPr>
      </w:pPr>
    </w:p>
    <w:p w14:paraId="51472787">
      <w:pPr>
        <w:pStyle w:val="27"/>
        <w:spacing w:before="168" w:line="176" w:lineRule="auto"/>
        <w:rPr>
          <w:rFonts w:asciiTheme="minorHAnsi" w:hAnsiTheme="minorHAnsi" w:eastAsiaTheme="majorEastAsia" w:cstheme="minorHAnsi"/>
          <w:kern w:val="0"/>
          <w:szCs w:val="21"/>
          <w:lang w:eastAsia="zh-CN"/>
        </w:rPr>
      </w:pPr>
    </w:p>
    <w:p w14:paraId="0219A193">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41511836">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通过物联网技术以及机器人系统两个层面，全方位提升学生对于数据科学及人工智能技术的理解与把握；</w:t>
      </w:r>
    </w:p>
    <w:p w14:paraId="466C182D">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1B350379">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学生可获得新加坡南洋理工大学正式的课程成绩单与参课证明，深度体验新加坡的社会与文化</w:t>
      </w:r>
      <w:bookmarkEnd w:id="0"/>
      <w:r>
        <w:rPr>
          <w:rFonts w:hint="eastAsia" w:asciiTheme="minorHAnsi" w:hAnsiTheme="minorHAnsi" w:eastAsiaTheme="majorEastAsia" w:cstheme="minorHAnsi"/>
          <w:kern w:val="0"/>
          <w:szCs w:val="21"/>
        </w:rPr>
        <w:t>。</w:t>
      </w:r>
    </w:p>
    <w:p w14:paraId="13E8D392">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09530EAE">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2F438CBC">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0A37E644">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4809C23D">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2F1C797A">
      <w:pPr>
        <w:widowControl/>
        <w:spacing w:line="360" w:lineRule="auto"/>
        <w:ind w:left="420" w:firstLine="420" w:firstLineChars="200"/>
        <w:jc w:val="left"/>
        <w:rPr>
          <w:rFonts w:cs="Arial" w:asciiTheme="minorHAnsi" w:hAnsiTheme="minorHAnsi"/>
          <w:color w:val="333333"/>
          <w:kern w:val="0"/>
          <w:szCs w:val="21"/>
        </w:rPr>
      </w:pPr>
    </w:p>
    <w:p w14:paraId="740BEDEB">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13C42376">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132E29C6">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3F013E59">
      <w:pPr>
        <w:spacing w:line="360" w:lineRule="auto"/>
        <w:rPr>
          <w:rFonts w:cs="Calibri" w:asciiTheme="minorHAnsi" w:hAnsiTheme="minorHAnsi"/>
          <w:szCs w:val="21"/>
        </w:rPr>
      </w:pPr>
    </w:p>
    <w:p w14:paraId="4BCCBF98">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课程安排</w:t>
      </w:r>
      <w:r>
        <w:rPr>
          <w:rFonts w:cs="Calibri" w:asciiTheme="minorHAnsi" w:hAnsiTheme="minorHAnsi"/>
          <w:szCs w:val="21"/>
        </w:rPr>
        <w:t>】</w:t>
      </w:r>
    </w:p>
    <w:p w14:paraId="7E00ABDE">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项目共计30课时，包含20课时的授课时间及10课时的人文参访/企业</w:t>
      </w:r>
    </w:p>
    <w:p w14:paraId="01FEBF82">
      <w:pPr>
        <w:spacing w:line="360" w:lineRule="auto"/>
        <w:rPr>
          <w:rFonts w:asciiTheme="minorHAnsi" w:hAnsiTheme="minorHAnsi" w:eastAsiaTheme="majorEastAsia" w:cstheme="minorHAnsi"/>
          <w:color w:val="0000FF"/>
          <w:szCs w:val="21"/>
        </w:rPr>
      </w:pPr>
      <w:r>
        <w:rPr>
          <w:rFonts w:hint="eastAsia" w:asciiTheme="minorHAnsi" w:hAnsiTheme="minorHAnsi" w:eastAsiaTheme="majorEastAsia" w:cstheme="minorHAnsi"/>
          <w:szCs w:val="21"/>
        </w:rPr>
        <w:t>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4055CC0B">
      <w:pPr>
        <w:spacing w:line="360" w:lineRule="auto"/>
        <w:ind w:left="420" w:leftChars="200"/>
        <w:rPr>
          <w:rFonts w:asciiTheme="minorHAnsi" w:hAnsiTheme="minorHAnsi" w:eastAsiaTheme="majorEastAsia" w:cstheme="minorHAnsi"/>
          <w:szCs w:val="21"/>
        </w:rPr>
      </w:pPr>
    </w:p>
    <w:p w14:paraId="77209BC3">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4C259200">
      <w:pPr>
        <w:widowControl/>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Modules for Robotics, Automation and Internet of Things</w:t>
      </w:r>
    </w:p>
    <w:p w14:paraId="77AD1D5D">
      <w:pPr>
        <w:widowControl/>
        <w:jc w:val="left"/>
        <w:rPr>
          <w:rFonts w:asciiTheme="minorHAnsi" w:hAnsiTheme="minorHAnsi" w:eastAsiaTheme="majorEastAsia" w:cstheme="minorHAnsi"/>
          <w:szCs w:val="21"/>
        </w:rPr>
      </w:pPr>
    </w:p>
    <w:p w14:paraId="0728CC41">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02A9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14:paraId="3AB66AA5">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1DDDD923">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58A01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292558CF">
            <w:pPr>
              <w:spacing w:before="1" w:line="220" w:lineRule="auto"/>
              <w:rPr>
                <w:rFonts w:ascii="宋体" w:hAnsi="宋体" w:cs="宋体"/>
                <w:spacing w:val="-2"/>
                <w:szCs w:val="21"/>
              </w:rPr>
            </w:pPr>
          </w:p>
          <w:p w14:paraId="08E48363">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133" w:type="dxa"/>
          </w:tcPr>
          <w:p w14:paraId="1B54B740">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启程出发</w:t>
            </w:r>
          </w:p>
          <w:p w14:paraId="12FB060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tc>
      </w:tr>
      <w:tr w14:paraId="49FD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7182B59E">
            <w:pPr>
              <w:spacing w:before="1" w:line="220" w:lineRule="auto"/>
              <w:ind w:firstLine="412" w:firstLineChars="200"/>
              <w:rPr>
                <w:rFonts w:ascii="宋体" w:hAnsi="宋体" w:cs="宋体"/>
                <w:spacing w:val="-2"/>
                <w:szCs w:val="21"/>
              </w:rPr>
            </w:pPr>
          </w:p>
          <w:p w14:paraId="1A50B3EC">
            <w:pPr>
              <w:spacing w:before="1" w:line="220" w:lineRule="auto"/>
              <w:ind w:firstLine="412" w:firstLineChars="200"/>
              <w:rPr>
                <w:rFonts w:ascii="宋体" w:hAnsi="宋体" w:cs="宋体"/>
                <w:spacing w:val="-2"/>
                <w:szCs w:val="21"/>
              </w:rPr>
            </w:pPr>
          </w:p>
          <w:p w14:paraId="6F201584">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133" w:type="dxa"/>
          </w:tcPr>
          <w:p w14:paraId="06DDB5F2">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Motion Systems in Robotics </w:t>
            </w:r>
          </w:p>
          <w:p w14:paraId="1A42C631">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Motion Planning in Robotics </w:t>
            </w:r>
          </w:p>
          <w:p w14:paraId="7885A62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机器人运动系统</w:t>
            </w:r>
          </w:p>
          <w:p w14:paraId="5A1C94F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机械臂运动规划</w:t>
            </w:r>
          </w:p>
        </w:tc>
      </w:tr>
      <w:tr w14:paraId="6280A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76AD2BDC">
            <w:pPr>
              <w:spacing w:before="1" w:line="220" w:lineRule="auto"/>
              <w:rPr>
                <w:rFonts w:ascii="宋体" w:hAnsi="宋体" w:cs="宋体"/>
                <w:spacing w:val="-2"/>
                <w:szCs w:val="21"/>
              </w:rPr>
            </w:pPr>
          </w:p>
          <w:p w14:paraId="6DE8ED0C">
            <w:pPr>
              <w:spacing w:before="1" w:line="220" w:lineRule="auto"/>
              <w:rPr>
                <w:rFonts w:ascii="宋体" w:hAnsi="宋体" w:cs="宋体"/>
                <w:spacing w:val="-2"/>
                <w:szCs w:val="21"/>
              </w:rPr>
            </w:pPr>
          </w:p>
          <w:p w14:paraId="21C97768">
            <w:pPr>
              <w:spacing w:before="1" w:line="220" w:lineRule="auto"/>
              <w:ind w:firstLine="412" w:firstLineChars="200"/>
              <w:rPr>
                <w:rFonts w:ascii="宋体" w:hAnsi="宋体" w:cs="宋体"/>
                <w:spacing w:val="-2"/>
                <w:szCs w:val="21"/>
              </w:rPr>
            </w:pPr>
          </w:p>
          <w:p w14:paraId="2EFE33B9">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133" w:type="dxa"/>
          </w:tcPr>
          <w:p w14:paraId="2665509A">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Processes in Industrial Automation </w:t>
            </w:r>
          </w:p>
          <w:p w14:paraId="26199B88">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Control in Industrial Automation</w:t>
            </w:r>
          </w:p>
          <w:p w14:paraId="0502186C">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工业自动化过程</w:t>
            </w:r>
          </w:p>
          <w:p w14:paraId="36DCA1D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自动化过程控制</w:t>
            </w:r>
          </w:p>
          <w:p w14:paraId="192EC20C">
            <w:pPr>
              <w:pStyle w:val="9"/>
              <w:widowControl w:val="0"/>
              <w:spacing w:before="168" w:beforeAutospacing="0" w:after="0" w:afterAutospacing="0"/>
              <w:jc w:val="both"/>
              <w:rPr>
                <w:spacing w:val="-1"/>
                <w:kern w:val="2"/>
                <w:sz w:val="21"/>
                <w:szCs w:val="21"/>
                <w:u w:val="single"/>
              </w:rPr>
            </w:pPr>
            <w:r>
              <w:rPr>
                <w:rFonts w:hint="eastAsia"/>
                <w:spacing w:val="-1"/>
                <w:kern w:val="2"/>
                <w:sz w:val="21"/>
                <w:szCs w:val="21"/>
                <w:u w:val="single"/>
                <w:lang w:bidi="ar"/>
              </w:rPr>
              <w:t>新加坡建屋发展局参访（Housing Development Board</w:t>
            </w:r>
            <w:r>
              <w:rPr>
                <w:rFonts w:ascii="微软雅黑" w:hAnsi="微软雅黑" w:eastAsia="微软雅黑" w:cs="微软雅黑"/>
                <w:color w:val="191B1F"/>
                <w:kern w:val="2"/>
                <w:sz w:val="27"/>
                <w:szCs w:val="27"/>
                <w:shd w:val="clear" w:color="auto" w:fill="FFFFFF"/>
                <w:lang w:bidi="ar"/>
              </w:rPr>
              <w:t xml:space="preserve"> </w:t>
            </w:r>
            <w:r>
              <w:rPr>
                <w:rFonts w:hint="eastAsia"/>
                <w:spacing w:val="-1"/>
                <w:kern w:val="2"/>
                <w:sz w:val="21"/>
                <w:szCs w:val="21"/>
                <w:u w:val="single"/>
                <w:lang w:bidi="ar"/>
              </w:rPr>
              <w:t>）</w:t>
            </w:r>
          </w:p>
          <w:p w14:paraId="7FA6FE41">
            <w:pPr>
              <w:rPr>
                <w:rFonts w:ascii="宋体" w:hAnsi="宋体" w:cs="宋体"/>
                <w:spacing w:val="-1"/>
                <w:szCs w:val="21"/>
              </w:rPr>
            </w:pPr>
            <w:r>
              <w:rPr>
                <w:rFonts w:hint="eastAsia" w:ascii="宋体" w:hAnsi="宋体" w:cs="宋体"/>
                <w:spacing w:val="-1"/>
                <w:szCs w:val="21"/>
                <w:lang w:bidi="ar"/>
              </w:rPr>
              <w:t>学习新加坡政府是如何在国土面积较小的情况下成功采用了西方卫星镇的建设理念，并完成城乡规划</w:t>
            </w:r>
          </w:p>
        </w:tc>
      </w:tr>
      <w:tr w14:paraId="3A41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3" w:type="dxa"/>
          </w:tcPr>
          <w:p w14:paraId="11B2A6EF">
            <w:pPr>
              <w:spacing w:before="1" w:line="220" w:lineRule="auto"/>
              <w:rPr>
                <w:rFonts w:ascii="宋体" w:hAnsi="宋体" w:cs="宋体"/>
                <w:spacing w:val="-2"/>
                <w:szCs w:val="21"/>
              </w:rPr>
            </w:pPr>
          </w:p>
          <w:p w14:paraId="149464D0">
            <w:pPr>
              <w:spacing w:before="1" w:line="220" w:lineRule="auto"/>
              <w:rPr>
                <w:rFonts w:ascii="宋体" w:hAnsi="宋体" w:cs="宋体"/>
                <w:spacing w:val="-2"/>
                <w:szCs w:val="21"/>
              </w:rPr>
            </w:pPr>
          </w:p>
          <w:p w14:paraId="3B36B92E">
            <w:pPr>
              <w:spacing w:before="1" w:line="220" w:lineRule="auto"/>
              <w:ind w:firstLine="412" w:firstLineChars="200"/>
              <w:rPr>
                <w:rFonts w:ascii="宋体" w:hAnsi="宋体" w:cs="宋体"/>
                <w:spacing w:val="-2"/>
                <w:szCs w:val="21"/>
              </w:rPr>
            </w:pPr>
          </w:p>
          <w:p w14:paraId="7B5FDD52">
            <w:pPr>
              <w:spacing w:before="1" w:line="220" w:lineRule="auto"/>
              <w:ind w:firstLine="412" w:firstLineChars="200"/>
              <w:rPr>
                <w:rFonts w:ascii="宋体" w:hAnsi="宋体" w:cs="宋体"/>
                <w:spacing w:val="-2"/>
                <w:szCs w:val="21"/>
              </w:rPr>
            </w:pPr>
          </w:p>
          <w:p w14:paraId="0DF29F0C">
            <w:pPr>
              <w:spacing w:before="1" w:line="220" w:lineRule="auto"/>
              <w:ind w:firstLine="412" w:firstLineChars="200"/>
              <w:rPr>
                <w:rFonts w:ascii="宋体" w:hAnsi="宋体" w:cs="宋体"/>
                <w:spacing w:val="-2"/>
                <w:szCs w:val="21"/>
              </w:rPr>
            </w:pPr>
          </w:p>
          <w:p w14:paraId="7164C329">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133" w:type="dxa"/>
          </w:tcPr>
          <w:p w14:paraId="17820A86">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Serial Communications </w:t>
            </w:r>
          </w:p>
          <w:p w14:paraId="1C61D5B2">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Network Interface to Serial Communications</w:t>
            </w:r>
          </w:p>
          <w:p w14:paraId="716A6969">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 xml:space="preserve">串行通信 </w:t>
            </w:r>
          </w:p>
          <w:p w14:paraId="4F631D79">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串行通信网络接口</w:t>
            </w:r>
          </w:p>
          <w:p w14:paraId="6C1F7C17">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Sensors in Internet of Things </w:t>
            </w:r>
          </w:p>
          <w:p w14:paraId="4F80004D">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Network Interface to Sensors </w:t>
            </w:r>
          </w:p>
          <w:p w14:paraId="412ABCC3">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物联网发展的基石 -  传感器</w:t>
            </w:r>
          </w:p>
          <w:p w14:paraId="03747C85">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z w:val="21"/>
                <w:szCs w:val="21"/>
                <w:lang w:eastAsia="zh-CN"/>
              </w:rPr>
              <w:t>传感器网络接口</w:t>
            </w:r>
          </w:p>
        </w:tc>
      </w:tr>
      <w:tr w14:paraId="57E6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033" w:type="dxa"/>
          </w:tcPr>
          <w:p w14:paraId="2DCCB519">
            <w:pPr>
              <w:spacing w:before="1" w:line="220" w:lineRule="auto"/>
              <w:ind w:firstLine="412" w:firstLineChars="200"/>
              <w:rPr>
                <w:rFonts w:ascii="宋体" w:hAnsi="宋体" w:cs="宋体"/>
                <w:spacing w:val="-2"/>
                <w:szCs w:val="21"/>
              </w:rPr>
            </w:pPr>
          </w:p>
          <w:p w14:paraId="59DBE8E5">
            <w:pPr>
              <w:spacing w:before="1" w:line="220" w:lineRule="auto"/>
              <w:ind w:firstLine="412" w:firstLineChars="200"/>
              <w:rPr>
                <w:rFonts w:ascii="宋体" w:hAnsi="宋体" w:cs="宋体"/>
                <w:spacing w:val="-2"/>
                <w:szCs w:val="21"/>
              </w:rPr>
            </w:pPr>
          </w:p>
          <w:p w14:paraId="4560B2AB">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133" w:type="dxa"/>
          </w:tcPr>
          <w:p w14:paraId="38EAD339">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Actuators in Internet of Things </w:t>
            </w:r>
          </w:p>
          <w:p w14:paraId="613D5D68">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Network Interface to Actuators </w:t>
            </w:r>
          </w:p>
          <w:p w14:paraId="728B8196">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 xml:space="preserve">物联网中的执行器 </w:t>
            </w:r>
          </w:p>
          <w:p w14:paraId="10B789B7">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致动器网络接口</w:t>
            </w:r>
          </w:p>
        </w:tc>
      </w:tr>
      <w:tr w14:paraId="7DB99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43BB89D1">
            <w:pPr>
              <w:spacing w:before="1" w:line="220" w:lineRule="auto"/>
              <w:ind w:firstLine="412" w:firstLineChars="200"/>
              <w:rPr>
                <w:rFonts w:ascii="宋体" w:hAnsi="宋体" w:cs="宋体"/>
                <w:spacing w:val="-2"/>
                <w:szCs w:val="21"/>
              </w:rPr>
            </w:pPr>
          </w:p>
          <w:p w14:paraId="3A83CF13">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133" w:type="dxa"/>
          </w:tcPr>
          <w:p w14:paraId="3CA8DA94">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访学汇报与结业典礼</w:t>
            </w:r>
          </w:p>
          <w:p w14:paraId="226D2069">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 xml:space="preserve">小组项目展示 </w:t>
            </w:r>
          </w:p>
        </w:tc>
      </w:tr>
      <w:tr w14:paraId="1BA4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2993E90D">
            <w:pPr>
              <w:spacing w:before="1" w:line="220" w:lineRule="auto"/>
              <w:ind w:firstLine="412" w:firstLineChars="200"/>
              <w:rPr>
                <w:rFonts w:ascii="宋体" w:hAnsi="宋体" w:cs="宋体"/>
                <w:spacing w:val="-2"/>
                <w:szCs w:val="21"/>
              </w:rPr>
            </w:pPr>
          </w:p>
          <w:p w14:paraId="076B8A6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133" w:type="dxa"/>
          </w:tcPr>
          <w:p w14:paraId="153EE91F">
            <w:pPr>
              <w:pStyle w:val="27"/>
              <w:spacing w:before="171" w:line="174"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上午:牛车水-小印度-鱼尾狮公园-甘傍格南-哈芝巷</w:t>
            </w:r>
          </w:p>
          <w:p w14:paraId="6CA476CF">
            <w:pPr>
              <w:pStyle w:val="27"/>
              <w:spacing w:before="171" w:line="174" w:lineRule="auto"/>
              <w:jc w:val="left"/>
              <w:rPr>
                <w:rFonts w:ascii="宋体" w:hAnsi="宋体" w:eastAsia="宋体" w:cs="宋体"/>
                <w:spacing w:val="-2"/>
                <w:sz w:val="21"/>
                <w:szCs w:val="21"/>
                <w:lang w:eastAsia="zh-CN"/>
              </w:rPr>
            </w:pPr>
            <w:r>
              <w:rPr>
                <w:rFonts w:ascii="宋体" w:hAnsi="宋体" w:eastAsia="宋体" w:cs="宋体"/>
                <w:spacing w:val="-1"/>
                <w:sz w:val="21"/>
                <w:szCs w:val="21"/>
                <w:lang w:eastAsia="zh-CN"/>
              </w:rPr>
              <w:t>下午:参访世界文化遗产/新加坡植物园</w:t>
            </w:r>
          </w:p>
        </w:tc>
      </w:tr>
      <w:tr w14:paraId="7230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19C98AF9">
            <w:pPr>
              <w:spacing w:before="1" w:line="220" w:lineRule="auto"/>
              <w:ind w:firstLine="412" w:firstLineChars="200"/>
              <w:rPr>
                <w:rFonts w:ascii="宋体" w:hAnsi="宋体" w:cs="宋体"/>
                <w:spacing w:val="-2"/>
                <w:szCs w:val="21"/>
              </w:rPr>
            </w:pPr>
          </w:p>
          <w:p w14:paraId="52100CAF">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133" w:type="dxa"/>
          </w:tcPr>
          <w:p w14:paraId="5FD42490">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01DAFD32">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rPr>
              <w:t>到达国内 </w:t>
            </w:r>
          </w:p>
        </w:tc>
      </w:tr>
    </w:tbl>
    <w:p w14:paraId="75545B11">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00D422ED">
      <w:pPr>
        <w:spacing w:line="360" w:lineRule="auto"/>
        <w:rPr>
          <w:rFonts w:cs="Calibri" w:asciiTheme="minorHAnsi" w:hAnsiTheme="minorHAnsi"/>
          <w:szCs w:val="21"/>
        </w:rPr>
      </w:pPr>
    </w:p>
    <w:bookmarkEnd w:id="1"/>
    <w:p w14:paraId="285CC155">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12F38E7">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23ED1F57">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68EFBEF8">
      <w:pPr>
        <w:widowControl/>
        <w:spacing w:line="360" w:lineRule="auto"/>
        <w:jc w:val="left"/>
        <w:rPr>
          <w:rFonts w:asciiTheme="minorHAnsi" w:hAnsiTheme="minorHAnsi" w:eastAsiaTheme="majorEastAsia" w:cstheme="minorHAnsi"/>
          <w:szCs w:val="21"/>
        </w:rPr>
      </w:pPr>
    </w:p>
    <w:p w14:paraId="1CE24A4C">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48E728CB">
      <w:pPr>
        <w:widowControl/>
        <w:spacing w:line="360" w:lineRule="auto"/>
        <w:jc w:val="left"/>
        <w:rPr>
          <w:rFonts w:asciiTheme="minorHAnsi" w:hAnsiTheme="minorHAnsi" w:eastAsiaTheme="majorEastAsia" w:cstheme="minorHAnsi"/>
          <w:szCs w:val="21"/>
        </w:rPr>
      </w:pPr>
    </w:p>
    <w:p w14:paraId="1AF7E8BF">
      <w:pPr>
        <w:widowControl/>
        <w:spacing w:line="360" w:lineRule="auto"/>
        <w:jc w:val="left"/>
        <w:rPr>
          <w:rFonts w:asciiTheme="minorHAnsi" w:hAnsiTheme="minorHAnsi" w:eastAsiaTheme="majorEastAsia" w:cstheme="minorHAnsi"/>
          <w:szCs w:val="21"/>
        </w:rPr>
      </w:pPr>
    </w:p>
    <w:p w14:paraId="0AF77446">
      <w:pPr>
        <w:widowControl/>
        <w:spacing w:line="360" w:lineRule="auto"/>
        <w:jc w:val="left"/>
        <w:rPr>
          <w:rFonts w:asciiTheme="minorHAnsi" w:hAnsiTheme="minorHAnsi" w:eastAsiaTheme="majorEastAsia" w:cstheme="minorHAnsi"/>
          <w:szCs w:val="21"/>
        </w:rPr>
      </w:pPr>
    </w:p>
    <w:p w14:paraId="519B90D0">
      <w:pPr>
        <w:widowControl/>
        <w:spacing w:line="360" w:lineRule="auto"/>
        <w:jc w:val="left"/>
        <w:rPr>
          <w:rFonts w:asciiTheme="minorHAnsi" w:hAnsiTheme="minorHAnsi" w:eastAsiaTheme="majorEastAsia" w:cstheme="minorHAnsi"/>
          <w:szCs w:val="21"/>
        </w:rPr>
      </w:pPr>
    </w:p>
    <w:p w14:paraId="762A6593">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56965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3879CD72">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3E14F0B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013A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6DBF561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4B85672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2206C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4DE2A86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198D51F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51E42362">
      <w:pPr>
        <w:widowControl/>
        <w:spacing w:line="360" w:lineRule="auto"/>
        <w:jc w:val="left"/>
        <w:rPr>
          <w:rFonts w:asciiTheme="minorHAnsi" w:hAnsiTheme="minorHAnsi" w:eastAsiaTheme="majorEastAsia" w:cstheme="minorHAnsi"/>
          <w:szCs w:val="21"/>
        </w:rPr>
      </w:pPr>
    </w:p>
    <w:p w14:paraId="0C252767">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9246CF9">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37A5BC6D">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3EA9B0F9">
      <w:pPr>
        <w:pStyle w:val="21"/>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4年12月</w:t>
      </w:r>
      <w:r>
        <w:rPr>
          <w:rFonts w:hint="eastAsia" w:ascii="Calibri" w:hAnsi="Calibri" w:cs="Calibri"/>
          <w:szCs w:val="21"/>
          <w:lang w:val="en-US" w:eastAsia="zh-CN"/>
        </w:rPr>
        <w:t>15</w:t>
      </w:r>
      <w:bookmarkStart w:id="3" w:name="_GoBack"/>
      <w:bookmarkEnd w:id="3"/>
      <w:r>
        <w:rPr>
          <w:rFonts w:hint="eastAsia" w:ascii="Calibri" w:hAnsi="Calibri" w:cs="Calibri"/>
          <w:szCs w:val="21"/>
        </w:rPr>
        <w:t>日</w:t>
      </w:r>
    </w:p>
    <w:p w14:paraId="7B24FE15">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14:paraId="215F4343">
      <w:pPr>
        <w:widowControl/>
        <w:jc w:val="left"/>
        <w:rPr>
          <w:rFonts w:cs="宋体" w:asciiTheme="minorHAnsi" w:hAnsiTheme="minorHAnsi"/>
          <w:kern w:val="0"/>
          <w:sz w:val="20"/>
          <w:szCs w:val="21"/>
        </w:rPr>
      </w:pPr>
    </w:p>
    <w:p w14:paraId="5385CEC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72C6940D">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103F0B96">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0B5AC18E">
      <w:pPr>
        <w:pStyle w:val="9"/>
        <w:spacing w:before="0" w:beforeAutospacing="0" w:after="0" w:afterAutospacing="0" w:line="360" w:lineRule="auto"/>
        <w:rPr>
          <w:rFonts w:ascii="Calibri" w:hAnsi="Calibri" w:cs="Calibri"/>
          <w:sz w:val="22"/>
          <w:szCs w:val="22"/>
        </w:rPr>
      </w:pPr>
    </w:p>
    <w:p w14:paraId="47FD52AA">
      <w:pPr>
        <w:widowControl/>
        <w:spacing w:line="360" w:lineRule="auto"/>
        <w:jc w:val="left"/>
        <w:rPr>
          <w:rFonts w:cs="宋体" w:asciiTheme="minorHAnsi" w:hAnsiTheme="minorHAnsi"/>
          <w:kern w:val="0"/>
          <w:sz w:val="20"/>
          <w:szCs w:val="21"/>
          <w:highlight w:val="green"/>
        </w:rPr>
      </w:pPr>
    </w:p>
    <w:p w14:paraId="10CD3C30">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197EF">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9541B"/>
    <w:multiLevelType w:val="singleLevel"/>
    <w:tmpl w:val="0E59541B"/>
    <w:lvl w:ilvl="0" w:tentative="0">
      <w:start w:val="1"/>
      <w:numFmt w:val="bullet"/>
      <w:lvlText w:val=""/>
      <w:lvlJc w:val="left"/>
      <w:pPr>
        <w:ind w:left="420" w:hanging="420"/>
      </w:pPr>
      <w:rPr>
        <w:rFonts w:hint="default" w:ascii="Wingdings" w:hAnsi="Wingdings"/>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A5E"/>
    <w:rsid w:val="00131D30"/>
    <w:rsid w:val="00133CC6"/>
    <w:rsid w:val="00134011"/>
    <w:rsid w:val="00135172"/>
    <w:rsid w:val="00135F93"/>
    <w:rsid w:val="00137744"/>
    <w:rsid w:val="00140B49"/>
    <w:rsid w:val="00143294"/>
    <w:rsid w:val="00144F0E"/>
    <w:rsid w:val="0014567C"/>
    <w:rsid w:val="00145721"/>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0B05"/>
    <w:rsid w:val="002852EE"/>
    <w:rsid w:val="0029175A"/>
    <w:rsid w:val="0029179F"/>
    <w:rsid w:val="00292326"/>
    <w:rsid w:val="00295361"/>
    <w:rsid w:val="00296348"/>
    <w:rsid w:val="00297E1A"/>
    <w:rsid w:val="002A05E1"/>
    <w:rsid w:val="002A402F"/>
    <w:rsid w:val="002A4498"/>
    <w:rsid w:val="002A4E59"/>
    <w:rsid w:val="002A6DA2"/>
    <w:rsid w:val="002A6EBF"/>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2BBD"/>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212F"/>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A4712"/>
    <w:rsid w:val="00EB0151"/>
    <w:rsid w:val="00EB2B49"/>
    <w:rsid w:val="00EB354F"/>
    <w:rsid w:val="00EB3C98"/>
    <w:rsid w:val="00EB5B3E"/>
    <w:rsid w:val="00EB7BFA"/>
    <w:rsid w:val="00EB7ED2"/>
    <w:rsid w:val="00EC3867"/>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37934"/>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1122"/>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922AC4"/>
    <w:rsid w:val="0CD410C8"/>
    <w:rsid w:val="0EA675EC"/>
    <w:rsid w:val="10D27A7E"/>
    <w:rsid w:val="1633660B"/>
    <w:rsid w:val="182C352A"/>
    <w:rsid w:val="1B091A97"/>
    <w:rsid w:val="1D4E2CAF"/>
    <w:rsid w:val="213A432F"/>
    <w:rsid w:val="223A11B5"/>
    <w:rsid w:val="22FA2700"/>
    <w:rsid w:val="24032E22"/>
    <w:rsid w:val="245F0FC8"/>
    <w:rsid w:val="259671F9"/>
    <w:rsid w:val="26846175"/>
    <w:rsid w:val="27201032"/>
    <w:rsid w:val="28BB4620"/>
    <w:rsid w:val="298E1762"/>
    <w:rsid w:val="2ACB2E92"/>
    <w:rsid w:val="2D22651C"/>
    <w:rsid w:val="2E9F27F8"/>
    <w:rsid w:val="2EA855EA"/>
    <w:rsid w:val="314144B0"/>
    <w:rsid w:val="31855F87"/>
    <w:rsid w:val="335C2374"/>
    <w:rsid w:val="345011CA"/>
    <w:rsid w:val="36363A93"/>
    <w:rsid w:val="364A2160"/>
    <w:rsid w:val="37F779CB"/>
    <w:rsid w:val="38E1010B"/>
    <w:rsid w:val="3B0A0C9D"/>
    <w:rsid w:val="3C91192E"/>
    <w:rsid w:val="4148218A"/>
    <w:rsid w:val="42836989"/>
    <w:rsid w:val="449479F1"/>
    <w:rsid w:val="44FF57F5"/>
    <w:rsid w:val="455C39C2"/>
    <w:rsid w:val="47356E70"/>
    <w:rsid w:val="47524326"/>
    <w:rsid w:val="4794153F"/>
    <w:rsid w:val="48A1399F"/>
    <w:rsid w:val="49B7019D"/>
    <w:rsid w:val="49D255C4"/>
    <w:rsid w:val="4A80421F"/>
    <w:rsid w:val="4D412B24"/>
    <w:rsid w:val="4D8352B9"/>
    <w:rsid w:val="50051124"/>
    <w:rsid w:val="51B24B0E"/>
    <w:rsid w:val="52AE775C"/>
    <w:rsid w:val="52E91829"/>
    <w:rsid w:val="531D5B22"/>
    <w:rsid w:val="538F119C"/>
    <w:rsid w:val="53AC58A5"/>
    <w:rsid w:val="558879FE"/>
    <w:rsid w:val="55C74D2F"/>
    <w:rsid w:val="572E32B3"/>
    <w:rsid w:val="59F37DAF"/>
    <w:rsid w:val="5C0A1E9A"/>
    <w:rsid w:val="5C593EAF"/>
    <w:rsid w:val="5C7E41A4"/>
    <w:rsid w:val="5C862A02"/>
    <w:rsid w:val="5D63417B"/>
    <w:rsid w:val="60C76A50"/>
    <w:rsid w:val="60FE76C2"/>
    <w:rsid w:val="634E1302"/>
    <w:rsid w:val="64DC4668"/>
    <w:rsid w:val="6A841BD5"/>
    <w:rsid w:val="6CFC2298"/>
    <w:rsid w:val="6FDE3B11"/>
    <w:rsid w:val="6FF84353"/>
    <w:rsid w:val="6FFB92A4"/>
    <w:rsid w:val="706D03F4"/>
    <w:rsid w:val="73120C63"/>
    <w:rsid w:val="736244DE"/>
    <w:rsid w:val="75790F84"/>
    <w:rsid w:val="75E73437"/>
    <w:rsid w:val="77B530EB"/>
    <w:rsid w:val="79F31DB7"/>
    <w:rsid w:val="7A6B664D"/>
    <w:rsid w:val="7A944128"/>
    <w:rsid w:val="7AAD5D10"/>
    <w:rsid w:val="7CA51739"/>
    <w:rsid w:val="7FF963E6"/>
    <w:rsid w:val="A5F77DBC"/>
    <w:rsid w:val="BE1FF691"/>
    <w:rsid w:val="BEFF34C7"/>
    <w:rsid w:val="FBB14938"/>
    <w:rsid w:val="FCFF3881"/>
    <w:rsid w:val="FEFF34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1682</Words>
  <Characters>2163</Characters>
  <Lines>18</Lines>
  <Paragraphs>5</Paragraphs>
  <TotalTime>1</TotalTime>
  <ScaleCrop>false</ScaleCrop>
  <LinksUpToDate>false</LinksUpToDate>
  <CharactersWithSpaces>2334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2023-04-13T16:25:00Z</dcterms:created>
  <dc:creator>全美国际教育协会</dc:creator>
  <cp:lastModifiedBy>李晓茜</cp:lastModifiedBy>
  <cp:lastPrinted>2011-12-19T16:54:00Z</cp:lastPrinted>
  <dcterms:modified xsi:type="dcterms:W3CDTF">2024-07-19T09:35:32Z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FC680644CB1C47A584ACE177B18CF592_13</vt:lpwstr>
  </property>
</Properties>
</file>