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 w:val="0"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 w:val="0"/>
          <w:color w:val="548DD4"/>
          <w:sz w:val="32"/>
          <w:szCs w:val="32"/>
          <w:lang w:val="en-US" w:eastAsia="zh-CN" w:bidi="ar-SA"/>
        </w:rPr>
        <w:t>2019年</w:t>
      </w:r>
      <w:r>
        <w:rPr>
          <w:rFonts w:hint="eastAsia" w:ascii="仿宋" w:hAnsi="仿宋" w:eastAsia="仿宋" w:cs="仿宋"/>
          <w:b/>
          <w:bCs w:val="0"/>
          <w:color w:val="548DD4"/>
          <w:sz w:val="32"/>
          <w:szCs w:val="32"/>
          <w:lang w:val="zh-CN" w:eastAsia="zh-CN" w:bidi="ar-SA"/>
        </w:rPr>
        <w:t>《跨文化创新能力德国名校名企参访营》项目介绍</w:t>
      </w:r>
    </w:p>
    <w:p>
      <w:pPr>
        <w:spacing w:line="360" w:lineRule="exact"/>
        <w:ind w:firstLine="480" w:firstLineChars="200"/>
        <w:rPr>
          <w:rFonts w:hint="eastAsia" w:ascii="仿宋" w:hAnsi="仿宋" w:eastAsia="仿宋" w:cs="仿宋"/>
          <w:b w:val="0"/>
          <w:bCs/>
          <w:sz w:val="24"/>
        </w:rPr>
      </w:pPr>
      <w:r>
        <w:rPr>
          <w:rFonts w:hint="eastAsia" w:ascii="仿宋" w:hAnsi="仿宋" w:eastAsia="仿宋" w:cs="仿宋"/>
          <w:b w:val="0"/>
          <w:bCs/>
          <w:sz w:val="24"/>
        </w:rPr>
        <w:t>漫步美茵河畔，感受欧洲金融中心，行走莱茵河岸，感受威严高耸的哥特建筑，浸身700多年的名校，访名企，走进“人民的汽车”总部，亲临大众、空客生产线，领略德国“隐形冠军”</w:t>
      </w:r>
      <w:r>
        <w:rPr>
          <w:rFonts w:hint="eastAsia" w:ascii="仿宋" w:hAnsi="仿宋" w:eastAsia="仿宋" w:cs="仿宋"/>
          <w:b w:val="0"/>
          <w:bCs/>
          <w:sz w:val="24"/>
          <w:lang w:eastAsia="zh-CN"/>
        </w:rPr>
        <w:t>中小型</w:t>
      </w:r>
      <w:r>
        <w:rPr>
          <w:rFonts w:hint="eastAsia" w:ascii="仿宋" w:hAnsi="仿宋" w:eastAsia="仿宋" w:cs="仿宋"/>
          <w:b w:val="0"/>
          <w:bCs/>
          <w:sz w:val="24"/>
        </w:rPr>
        <w:t>企业的风采，与德国大学生互动交流，培养跨文化创新能力和综合素质！</w:t>
      </w:r>
    </w:p>
    <w:p>
      <w:pPr>
        <w:pStyle w:val="2"/>
        <w:rPr>
          <w:rFonts w:hint="eastAsia" w:ascii="仿宋" w:hAnsi="仿宋" w:eastAsia="仿宋" w:cs="仿宋"/>
          <w:b w:val="0"/>
          <w:bCs/>
          <w:lang w:val="zh-CN"/>
        </w:rPr>
      </w:pPr>
      <w:r>
        <w:rPr>
          <w:rFonts w:hint="eastAsia" w:ascii="仿宋" w:hAnsi="仿宋" w:eastAsia="仿宋" w:cs="仿宋"/>
          <w:b w:val="0"/>
          <w:bCs/>
          <w:color w:val="548DD4"/>
          <w:sz w:val="24"/>
          <w:szCs w:val="24"/>
          <w:lang w:val="zh-CN"/>
        </w:rPr>
        <w:t>【了解德国历史、经济与文化】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zh-CN"/>
        </w:rPr>
        <w:t>通过体验式、互动式学习，让学生了解德国的经济和企业运作情况以及德国高校的教学、课程设置、招生情况及校园文化；了解德国历史发展概况，解读日耳曼文化和思维。</w:t>
      </w:r>
    </w:p>
    <w:p>
      <w:pPr>
        <w:pStyle w:val="2"/>
        <w:rPr>
          <w:rFonts w:hint="eastAsia" w:ascii="仿宋" w:hAnsi="仿宋" w:eastAsia="仿宋" w:cs="仿宋"/>
          <w:b w:val="0"/>
          <w:bCs/>
          <w:sz w:val="24"/>
          <w:szCs w:val="24"/>
          <w:lang w:val="zh-CN"/>
        </w:rPr>
      </w:pPr>
      <w:r>
        <w:rPr>
          <w:rFonts w:hint="eastAsia" w:ascii="仿宋" w:hAnsi="仿宋" w:eastAsia="仿宋" w:cs="仿宋"/>
          <w:b w:val="0"/>
          <w:bCs/>
          <w:color w:val="548DD4"/>
          <w:sz w:val="24"/>
          <w:szCs w:val="24"/>
          <w:lang w:val="zh-CN"/>
        </w:rPr>
        <w:t>【与当地教师和学生跨文化互动】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zh-CN"/>
        </w:rPr>
        <w:t>通过与德国企业界人士、教师和学生交流互动，学生可以立即把所学知识转化为实践，获取跨文化交际能力。</w:t>
      </w:r>
    </w:p>
    <w:p>
      <w:pPr>
        <w:spacing w:line="360" w:lineRule="atLeast"/>
        <w:rPr>
          <w:rFonts w:hint="eastAsia" w:ascii="仿宋" w:hAnsi="仿宋" w:eastAsia="仿宋" w:cs="仿宋"/>
          <w:b w:val="0"/>
          <w:bCs/>
          <w:sz w:val="24"/>
        </w:rPr>
      </w:pPr>
      <w:r>
        <w:rPr>
          <w:rFonts w:hint="eastAsia" w:ascii="仿宋" w:hAnsi="仿宋" w:eastAsia="仿宋" w:cs="仿宋"/>
          <w:b w:val="0"/>
          <w:bCs/>
          <w:color w:val="548DD4"/>
          <w:sz w:val="24"/>
          <w:szCs w:val="24"/>
        </w:rPr>
        <w:t>【特色探访及跨文化互动】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行走德国名城（法兰克福、汉堡、科隆、奥斯纳布吕克、不来梅、狼堡），访问德国名校（海德堡大学、法兰克福大学、科隆大学），走进著名跨国企业（大众、空中客车、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凯斯宝玛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、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汉宏物流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），参观著名历史景点和博物馆（法兰克福罗马广场、科隆大教堂、不来梅老城区、汉堡微缩景观博物馆等）。</w:t>
      </w:r>
    </w:p>
    <w:p>
      <w:pPr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color w:val="548DD4"/>
          <w:sz w:val="24"/>
          <w:szCs w:val="24"/>
        </w:rPr>
        <w:t>时间</w:t>
      </w:r>
      <w:r>
        <w:rPr>
          <w:rFonts w:hint="eastAsia" w:ascii="仿宋" w:hAnsi="仿宋" w:eastAsia="仿宋" w:cs="仿宋"/>
          <w:b w:val="0"/>
          <w:bCs/>
          <w:color w:val="535353"/>
          <w:sz w:val="24"/>
          <w:szCs w:val="24"/>
        </w:rPr>
        <w:t>：</w:t>
      </w:r>
      <w:r>
        <w:rPr>
          <w:rFonts w:hint="eastAsia" w:ascii="仿宋" w:hAnsi="仿宋" w:eastAsia="仿宋" w:cs="仿宋"/>
          <w:b w:val="0"/>
          <w:bCs/>
          <w:color w:val="535353"/>
          <w:sz w:val="24"/>
          <w:szCs w:val="24"/>
          <w:lang w:val="en-US" w:eastAsia="zh-CN"/>
        </w:rPr>
        <w:t>2019年1月20日-2019年2月3日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br w:type="textWrapping"/>
      </w:r>
      <w:r>
        <w:rPr>
          <w:rFonts w:hint="eastAsia" w:ascii="仿宋" w:hAnsi="仿宋" w:eastAsia="仿宋" w:cs="仿宋"/>
          <w:b w:val="0"/>
          <w:bCs/>
          <w:color w:val="548DD4"/>
          <w:sz w:val="24"/>
          <w:szCs w:val="24"/>
        </w:rPr>
        <w:t>课程内容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：德国历史与文化、德国人的思维特征、欧盟与德国的经济及制度、在德国创业、商业政策与策略、中德价值观对比等。</w:t>
      </w:r>
    </w:p>
    <w:p>
      <w:pPr>
        <w:rPr>
          <w:rFonts w:hint="eastAsia" w:ascii="仿宋" w:hAnsi="仿宋" w:eastAsia="仿宋" w:cs="仿宋"/>
          <w:b w:val="0"/>
          <w:bCs/>
          <w:sz w:val="24"/>
        </w:rPr>
      </w:pPr>
      <w:r>
        <w:rPr>
          <w:rFonts w:hint="eastAsia" w:ascii="仿宋" w:hAnsi="仿宋" w:eastAsia="仿宋" w:cs="仿宋"/>
          <w:b w:val="0"/>
          <w:bCs/>
          <w:color w:val="548DD4"/>
          <w:sz w:val="24"/>
          <w:szCs w:val="24"/>
        </w:rPr>
        <w:t>业余活动</w:t>
      </w:r>
      <w:r>
        <w:rPr>
          <w:rFonts w:hint="eastAsia" w:ascii="仿宋" w:hAnsi="仿宋" w:eastAsia="仿宋" w:cs="仿宋"/>
          <w:b w:val="0"/>
          <w:bCs/>
          <w:color w:val="7F7F7F"/>
          <w:sz w:val="24"/>
          <w:szCs w:val="24"/>
        </w:rPr>
        <w:t>：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中德学生互动晚会、结营仪式、前往法兰克福、奥斯纳布吕克、汉堡、科隆、不来梅、狼堡等地参观众多经典历史景点、知名大学和企业。</w:t>
      </w:r>
    </w:p>
    <w:p>
      <w:pPr>
        <w:spacing w:line="360" w:lineRule="atLeast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color w:val="548DD4"/>
          <w:sz w:val="24"/>
          <w:szCs w:val="24"/>
        </w:rPr>
        <w:t>住宿</w:t>
      </w:r>
      <w:r>
        <w:rPr>
          <w:rFonts w:hint="eastAsia" w:ascii="仿宋" w:hAnsi="仿宋" w:eastAsia="仿宋" w:cs="仿宋"/>
          <w:b w:val="0"/>
          <w:bCs/>
          <w:color w:val="7F7F7F"/>
          <w:sz w:val="24"/>
          <w:szCs w:val="24"/>
        </w:rPr>
        <w:t>：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两人一间、独立卫浴</w:t>
      </w:r>
    </w:p>
    <w:p>
      <w:pPr>
        <w:spacing w:line="360" w:lineRule="atLeast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548DD4"/>
          <w:sz w:val="24"/>
          <w:szCs w:val="24"/>
          <w:lang w:eastAsia="zh-CN"/>
        </w:rPr>
        <w:t>项目费用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22000元</w:t>
      </w:r>
    </w:p>
    <w:p>
      <w:pPr>
        <w:pStyle w:val="13"/>
        <w:ind w:left="0" w:firstLine="0"/>
        <w:rPr>
          <w:rFonts w:hint="eastAsia" w:ascii="仿宋" w:hAnsi="仿宋" w:eastAsia="仿宋" w:cs="仿宋"/>
          <w:b w:val="0"/>
          <w:bCs/>
          <w:kern w:val="0"/>
          <w:sz w:val="24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548DD4"/>
          <w:kern w:val="0"/>
          <w:sz w:val="24"/>
          <w:lang w:eastAsia="zh-CN"/>
        </w:rPr>
        <w:t>费用包含</w:t>
      </w:r>
      <w:r>
        <w:rPr>
          <w:rFonts w:hint="eastAsia" w:ascii="仿宋" w:hAnsi="仿宋" w:eastAsia="仿宋" w:cs="仿宋"/>
          <w:b w:val="0"/>
          <w:bCs/>
          <w:color w:val="7F7F7F"/>
          <w:kern w:val="0"/>
          <w:sz w:val="24"/>
          <w:lang w:eastAsia="zh-CN"/>
        </w:rPr>
        <w:t>：</w:t>
      </w:r>
      <w:r>
        <w:rPr>
          <w:rFonts w:hint="eastAsia" w:ascii="仿宋" w:hAnsi="仿宋" w:eastAsia="仿宋" w:cs="仿宋"/>
          <w:b w:val="0"/>
          <w:bCs/>
          <w:kern w:val="0"/>
          <w:sz w:val="24"/>
          <w:lang w:eastAsia="zh-CN"/>
        </w:rPr>
        <w:t>课程、住</w:t>
      </w:r>
      <w:r>
        <w:rPr>
          <w:rFonts w:hint="eastAsia" w:ascii="仿宋" w:hAnsi="仿宋" w:eastAsia="仿宋" w:cs="仿宋"/>
          <w:b w:val="0"/>
          <w:bCs/>
          <w:kern w:val="0"/>
          <w:sz w:val="24"/>
          <w:lang w:val="en-US" w:eastAsia="zh-CN" w:bidi="ar-SA"/>
        </w:rPr>
        <w:t>宿、服务、部分餐费、接送机以及日程中安排的参观游览和交通费。</w:t>
      </w:r>
    </w:p>
    <w:p>
      <w:pPr>
        <w:tabs>
          <w:tab w:val="left" w:pos="6396"/>
        </w:tabs>
        <w:spacing w:line="360" w:lineRule="atLeast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color w:val="548DD4"/>
          <w:sz w:val="24"/>
          <w:szCs w:val="24"/>
        </w:rPr>
        <w:t>费用不包含</w:t>
      </w:r>
      <w:r>
        <w:rPr>
          <w:rFonts w:hint="eastAsia" w:ascii="仿宋" w:hAnsi="仿宋" w:eastAsia="仿宋" w:cs="仿宋"/>
          <w:b w:val="0"/>
          <w:bCs/>
          <w:color w:val="7F7F7F"/>
          <w:sz w:val="24"/>
          <w:szCs w:val="24"/>
        </w:rPr>
        <w:t>：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往返机票、签证、保险、个人开销。 </w:t>
      </w:r>
    </w:p>
    <w:p>
      <w:pPr>
        <w:tabs>
          <w:tab w:val="left" w:pos="6396"/>
        </w:tabs>
        <w:spacing w:line="360" w:lineRule="atLeast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本项目为英文授课，且全程有中文翻译陪同。</w:t>
      </w:r>
      <w:bookmarkStart w:id="0" w:name="_GoBack"/>
      <w:bookmarkEnd w:id="0"/>
    </w:p>
    <w:p>
      <w:pPr>
        <w:tabs>
          <w:tab w:val="left" w:pos="2481"/>
        </w:tabs>
        <w:spacing w:line="360" w:lineRule="atLeast"/>
        <w:rPr>
          <w:rFonts w:hint="eastAsia" w:ascii="仿宋" w:hAnsi="仿宋" w:eastAsia="仿宋" w:cs="仿宋"/>
          <w:b/>
          <w:bCs w:val="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 w:val="0"/>
          <w:color w:val="548DD4"/>
          <w:sz w:val="24"/>
          <w:szCs w:val="24"/>
          <w:lang w:val="zh-CN"/>
        </w:rPr>
        <w:t>【亮点荟萃】</w:t>
      </w:r>
    </w:p>
    <w:p>
      <w:pPr>
        <w:pStyle w:val="13"/>
        <w:widowControl/>
        <w:numPr>
          <w:ilvl w:val="0"/>
          <w:numId w:val="1"/>
        </w:numPr>
        <w:ind w:firstLineChars="0"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de-DE" w:eastAsia="zh-CN" w:bidi="ar-SA"/>
        </w:rPr>
      </w:pPr>
      <w:r>
        <w:rPr>
          <w:rFonts w:hint="eastAsia" w:ascii="仿宋" w:hAnsi="仿宋" w:eastAsia="仿宋" w:cs="仿宋"/>
          <w:b/>
          <w:bCs w:val="0"/>
          <w:kern w:val="0"/>
          <w:sz w:val="24"/>
          <w:szCs w:val="24"/>
          <w:lang w:val="en-US" w:eastAsia="zh-CN" w:bidi="ar-SA"/>
        </w:rPr>
        <w:t>海德堡大学</w:t>
      </w:r>
      <w:r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de-DE" w:eastAsia="zh-CN" w:bidi="ar-SA"/>
        </w:rPr>
        <w:t>（Ruprecht-Karls-Universität Heidelberg）</w:t>
      </w:r>
    </w:p>
    <w:p>
      <w:pPr>
        <w:widowControl/>
        <w:ind w:firstLine="480" w:firstLineChars="200"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123190</wp:posOffset>
            </wp:positionV>
            <wp:extent cx="5153025" cy="1073150"/>
            <wp:effectExtent l="0" t="0" r="9525" b="12700"/>
            <wp:wrapTight wrapText="bothSides">
              <wp:wrapPolygon>
                <wp:start x="21600" y="21089"/>
                <wp:lineTo x="21600" y="0"/>
                <wp:lineTo x="40" y="0"/>
                <wp:lineTo x="40" y="21089"/>
                <wp:lineTo x="21600" y="21089"/>
              </wp:wrapPolygon>
            </wp:wrapTight>
            <wp:docPr id="13" name="图片 13" descr="http://img.xiumi.us/xmi/ua/1zu5v/i/d459ddaed6a6d372a744140f6343a1e9-sz_266390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img.xiumi.us/xmi/ua/1zu5v/i/d459ddaed6a6d372a744140f6343a1e9-sz_266390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238194" cy="10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both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海德堡大学（Ruprecht-Karls-Universität Heidelberg）建立于1386年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是德国最古老的大学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是德国浪漫主义与人文主义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的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象征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每年吸引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了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大批外国学生前来深造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。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海德堡也是一座以古堡和内卡河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闻名的文化名城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。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歌德曾赋诗一首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：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Ich hab' mein Herz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in Heidelberg verloren!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《我把心遗失在了海德堡！》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。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十六世纪下半叶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海德堡大学就成为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了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欧洲科学文化的中心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蝉联入选「德国精英大学」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为「欧洲研究型大学联盟」「科英布拉集团」「德国顶尖大学U15大学联盟」「欧洲大学协会」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的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创始会员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。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截至2017年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这里共诞生了56位诺贝尔奖得主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19位莱布尼兹奖得主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。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在18-19年的CWUR世界大学排名中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海德堡大学位居德国第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1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世界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第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46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17-18年的USNews世界大学排名中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海德堡大学位居德国第2世界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第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59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ARWU学术排名中位居世界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第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42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QS世界大学排名中位居世界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第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68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。</w:t>
      </w: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kern w:val="0"/>
          <w:sz w:val="24"/>
          <w:szCs w:val="24"/>
          <w:lang w:val="en-US" w:eastAsia="zh-CN" w:bidi="ar-SA"/>
        </w:rPr>
        <w:t>2科隆大学</w:t>
      </w:r>
      <w:r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  <w:t>（Universität zu Köln）</w:t>
      </w: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2540</wp:posOffset>
            </wp:positionV>
            <wp:extent cx="5142230" cy="1755140"/>
            <wp:effectExtent l="0" t="0" r="1270" b="16510"/>
            <wp:wrapTight wrapText="bothSides">
              <wp:wrapPolygon>
                <wp:start x="0" y="0"/>
                <wp:lineTo x="0" y="21334"/>
                <wp:lineTo x="21525" y="21334"/>
                <wp:lineTo x="21525" y="0"/>
                <wp:lineTo x="0" y="0"/>
              </wp:wrapPolygon>
            </wp:wrapTight>
            <wp:docPr id="10" name="图片 10" descr="http://img.xiumi.us/xmi/ua/1zu5v/i/92f0b7cbedd6ab5ee7c97acc007c0b2b-sz_106704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img.xiumi.us/xmi/ua/1zu5v/i/92f0b7cbedd6ab5ee7c97acc007c0b2b-sz_106704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267" cy="17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</w:p>
    <w:p>
      <w:pPr>
        <w:widowControl/>
        <w:ind w:firstLine="480" w:firstLineChars="200"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  <w:t>科隆大学建于1388年，只比海德堡大学年轻两岁，是欧洲及世界范围内最为古老的大学之一。科隆大学文理并蓄，不设工科，其经济学和管理学在德国长期处于前三甲。科隆大学是CEMS全球顶尖商学院联盟成员之一（每个国家和地区只选一所顶尖高校），它也是德国11所精英大学之一。设有经济管理与社会科学学院、法学院、医学院、哲学院、数学自然科学学院、艺术与人文学院等六个学院。2016年，一项针对德国知名企业HR的调查显示，科隆大学的经济学专业毕业生竞争力位列第3，管理学及经济信息专业毕业生竞争力位列第4。法学院全德前五。艺术与人文学院全德第七。医学院的生命科学专业全德第三。</w:t>
      </w: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kern w:val="0"/>
          <w:sz w:val="24"/>
          <w:szCs w:val="24"/>
          <w:lang w:val="en-US" w:eastAsia="zh-CN" w:bidi="ar-SA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389890</wp:posOffset>
            </wp:positionV>
            <wp:extent cx="5041265" cy="1490345"/>
            <wp:effectExtent l="0" t="0" r="6985" b="14605"/>
            <wp:wrapTight wrapText="bothSides">
              <wp:wrapPolygon>
                <wp:start x="0" y="0"/>
                <wp:lineTo x="0" y="21259"/>
                <wp:lineTo x="21548" y="21259"/>
                <wp:lineTo x="21548" y="0"/>
                <wp:lineTo x="0" y="0"/>
              </wp:wrapPolygon>
            </wp:wrapTight>
            <wp:docPr id="7" name="图片 7" descr="http://img.xiumi.us/xmi/ua/1zu5v/i/e49101c492e66573e326fa2cf646cd40-sz_57113.jpg?x-oss-process=style/xmo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img.xiumi.us/xmi/ua/1zu5v/i/e49101c492e66573e326fa2cf646cd40-sz_57113.jpg?x-oss-process=style/xmori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8530" cy="150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 w:val="0"/>
          <w:kern w:val="0"/>
          <w:sz w:val="24"/>
          <w:szCs w:val="24"/>
          <w:lang w:val="en-US" w:eastAsia="zh-CN" w:bidi="ar-SA"/>
        </w:rPr>
        <w:t>3法兰克福大学</w:t>
      </w:r>
      <w:r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  <w:t>（Johann Wolfgang Goethe-Universität Frankfurt am Main）</w:t>
      </w:r>
    </w:p>
    <w:p>
      <w:pPr>
        <w:widowControl/>
        <w:jc w:val="both"/>
        <w:rPr>
          <w:rFonts w:hint="eastAsia" w:ascii="仿宋" w:hAnsi="仿宋" w:eastAsia="仿宋" w:cs="仿宋"/>
          <w:b/>
          <w:bCs w:val="0"/>
          <w:kern w:val="0"/>
          <w:sz w:val="24"/>
          <w:szCs w:val="24"/>
          <w:lang w:val="en-US" w:eastAsia="zh-CN" w:bidi="ar-SA"/>
        </w:rPr>
      </w:pP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</w:p>
    <w:p>
      <w:pPr>
        <w:widowControl/>
        <w:ind w:firstLine="480" w:firstLineChars="200"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  <w:t>法兰克法大学是德国著名的研究型大学，位于德国金融企业中心与陆空交通枢纽城市法兰克福，拥有600位教授，4万6千名学生，其中国际学生7000余人，来自130多个不同国家，16个学院提供超过170种专业，它规模庞大且也是德国最有名望的前十所大学之一。法兰克福大学有很强的科研实力，是德国最著名的研究奖Leibniz-Award获得者最多的大学，法兰克福大学的精英集群数量全德第二，马普所在法兰克福大学有三个合作单位。2012年全球毕业生就业调查显示，法兰克福大学的毕业生，就业竞争力排世界第十，德国第一。</w:t>
      </w: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 w:bidi="ar-SA"/>
        </w:rPr>
        <w:t>4大众（Volkswagen）</w:t>
      </w: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  <w:t>位于德国沃尔夫斯堡的汽车制造公司、世界四大汽车生产商之一、大众集团的核心企业、2016年《财富》世界500强第7位</w:t>
      </w:r>
    </w:p>
    <w:p>
      <w:pPr>
        <w:widowControl/>
        <w:tabs>
          <w:tab w:val="left" w:pos="1671"/>
        </w:tabs>
        <w:jc w:val="both"/>
        <w:rPr>
          <w:rFonts w:hint="eastAsia" w:ascii="仿宋" w:hAnsi="仿宋" w:eastAsia="仿宋" w:cs="仿宋"/>
          <w:b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kern w:val="0"/>
          <w:sz w:val="24"/>
          <w:szCs w:val="24"/>
          <w:lang w:val="en-US" w:eastAsia="zh-CN" w:bidi="ar-SA"/>
        </w:rPr>
        <w:t>5空中客车 （Airbus）</w:t>
      </w: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  <w:t>业界领先的飞机制造商、牢固掌握着全球约一半的民用飞机订单、全球员工约54000人、在全球各地设有150多个驻场服务办事处</w:t>
      </w:r>
    </w:p>
    <w:p>
      <w:pPr>
        <w:widowControl/>
        <w:jc w:val="both"/>
        <w:rPr>
          <w:rFonts w:hint="eastAsia" w:ascii="仿宋" w:hAnsi="仿宋" w:eastAsia="仿宋" w:cs="仿宋"/>
          <w:b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kern w:val="0"/>
          <w:sz w:val="24"/>
          <w:szCs w:val="24"/>
          <w:lang w:val="en-US" w:eastAsia="zh-CN" w:bidi="ar-SA"/>
        </w:rPr>
        <w:t>6凯斯宝玛（Kesseböhmer）</w:t>
      </w:r>
    </w:p>
    <w:p>
      <w:pPr>
        <w:widowControl/>
        <w:jc w:val="both"/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0"/>
          <w:sz w:val="24"/>
          <w:szCs w:val="24"/>
          <w:lang w:val="en-US" w:eastAsia="zh-CN" w:bidi="ar-SA"/>
        </w:rPr>
        <w:t>是全球功能五金的核心企业、开创了功能五金的先驱、成为了橱柜内拉篮转篮的代名词、顶尖的设计和品质使其成为“红点奖”常客</w:t>
      </w:r>
    </w:p>
    <w:p>
      <w:pPr>
        <w:tabs>
          <w:tab w:val="left" w:pos="2481"/>
        </w:tabs>
        <w:spacing w:line="360" w:lineRule="atLeast"/>
        <w:rPr>
          <w:rFonts w:hint="eastAsia" w:ascii="仿宋" w:hAnsi="仿宋" w:eastAsia="仿宋" w:cs="仿宋"/>
          <w:b/>
          <w:bCs w:val="0"/>
          <w:color w:val="548DD4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548DD4"/>
          <w:sz w:val="24"/>
          <w:szCs w:val="24"/>
          <w:lang w:val="en-US" w:eastAsia="zh-CN"/>
        </w:rPr>
        <w:t xml:space="preserve">【往期学员游记摘录】 </w:t>
      </w:r>
    </w:p>
    <w:p>
      <w:pPr>
        <w:widowControl/>
        <w:spacing w:line="384" w:lineRule="atLeast"/>
        <w:jc w:val="center"/>
        <w:rPr>
          <w:lang w:val="de-DE"/>
        </w:rPr>
      </w:pPr>
      <w:r>
        <w:rPr>
          <w:rFonts w:hint="eastAsia" w:ascii="宋体" w:hAnsi="宋体" w:cs="宋体"/>
          <w:b/>
          <w:bCs/>
          <w:color w:val="FF0000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135255</wp:posOffset>
            </wp:positionV>
            <wp:extent cx="1687195" cy="2668270"/>
            <wp:effectExtent l="0" t="0" r="8255" b="17780"/>
            <wp:wrapTight wrapText="bothSides">
              <wp:wrapPolygon>
                <wp:start x="0" y="0"/>
                <wp:lineTo x="0" y="21436"/>
                <wp:lineTo x="21462" y="21436"/>
                <wp:lineTo x="21462" y="0"/>
                <wp:lineTo x="0" y="0"/>
              </wp:wrapPolygon>
            </wp:wrapTight>
            <wp:docPr id="143" name="图片 143" descr="15365627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1536562778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125730</wp:posOffset>
            </wp:positionV>
            <wp:extent cx="1673860" cy="2687320"/>
            <wp:effectExtent l="0" t="0" r="40640" b="36830"/>
            <wp:wrapTight wrapText="bothSides">
              <wp:wrapPolygon>
                <wp:start x="0" y="0"/>
                <wp:lineTo x="0" y="21437"/>
                <wp:lineTo x="21387" y="21437"/>
                <wp:lineTo x="21387" y="0"/>
                <wp:lineTo x="0" y="0"/>
              </wp:wrapPolygon>
            </wp:wrapTight>
            <wp:docPr id="141" name="图片 141" descr="15365625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1536562571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104775</wp:posOffset>
            </wp:positionV>
            <wp:extent cx="2010410" cy="2698115"/>
            <wp:effectExtent l="0" t="0" r="8890" b="6985"/>
            <wp:wrapTight wrapText="bothSides">
              <wp:wrapPolygon>
                <wp:start x="0" y="0"/>
                <wp:lineTo x="0" y="21503"/>
                <wp:lineTo x="21491" y="21503"/>
                <wp:lineTo x="21491" y="0"/>
                <wp:lineTo x="0" y="0"/>
              </wp:wrapPolygon>
            </wp:wrapTight>
            <wp:docPr id="140" name="图片 140" descr="15365625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1536562531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95250</wp:posOffset>
            </wp:positionV>
            <wp:extent cx="2057400" cy="2734945"/>
            <wp:effectExtent l="0" t="0" r="0" b="8255"/>
            <wp:wrapTight wrapText="bothSides">
              <wp:wrapPolygon>
                <wp:start x="0" y="0"/>
                <wp:lineTo x="0" y="21515"/>
                <wp:lineTo x="21400" y="21515"/>
                <wp:lineTo x="21400" y="0"/>
                <wp:lineTo x="0" y="0"/>
              </wp:wrapPolygon>
            </wp:wrapTight>
            <wp:docPr id="139" name="图片 139" descr="15365624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1536562469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ab/>
      </w: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ascii="楷体" w:hAnsi="楷体" w:eastAsia="楷体" w:cs="楷体"/>
        <w:szCs w:val="21"/>
        <w:shd w:val="clear" w:color="auto" w:fill="FFFFFF"/>
      </w:rPr>
      <w:t xml:space="preserve">地址：中国陕西省西安市解放路282号    </w:t>
    </w:r>
    <w:r>
      <w:rPr>
        <w:rFonts w:hint="eastAsia" w:ascii="楷体" w:hAnsi="楷体" w:eastAsia="楷体" w:cs="楷体"/>
        <w:szCs w:val="21"/>
        <w:shd w:val="clear" w:color="auto" w:fill="FFFFFF"/>
        <w:lang w:val="en-US" w:eastAsia="zh-CN"/>
      </w:rPr>
      <w:t xml:space="preserve">                       </w:t>
    </w:r>
    <w:r>
      <w:rPr>
        <w:rFonts w:hint="eastAsia" w:ascii="楷体" w:hAnsi="楷体" w:eastAsia="楷体" w:cs="楷体"/>
        <w:szCs w:val="21"/>
        <w:shd w:val="clear" w:color="auto" w:fill="FFFFFF"/>
      </w:rPr>
      <w:t xml:space="preserve">电话：029-88149182,029-88149207  </w:t>
    </w:r>
    <w:r>
      <w:rPr>
        <w:rFonts w:hint="eastAsia" w:ascii="黑体" w:hAnsi="黑体" w:eastAsia="黑体" w:cs="黑体"/>
        <w:sz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5257165</wp:posOffset>
          </wp:positionH>
          <wp:positionV relativeFrom="paragraph">
            <wp:posOffset>-206375</wp:posOffset>
          </wp:positionV>
          <wp:extent cx="638175" cy="601980"/>
          <wp:effectExtent l="0" t="0" r="9525" b="7620"/>
          <wp:wrapTight wrapText="bothSides">
            <wp:wrapPolygon>
              <wp:start x="0" y="0"/>
              <wp:lineTo x="0" y="21190"/>
              <wp:lineTo x="21278" y="21190"/>
              <wp:lineTo x="21278" y="0"/>
              <wp:lineTo x="0" y="0"/>
            </wp:wrapPolygon>
          </wp:wrapTight>
          <wp:docPr id="29" name="图片 2" descr="德瑞班 微信平台二维码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" descr="德瑞班 微信平台二维码 new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01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ascii="仿宋" w:hAnsi="仿宋" w:eastAsia="仿宋" w:cs="仿宋"/>
        <w:sz w:val="24"/>
        <w:szCs w:val="24"/>
        <w:lang w:eastAsia="zh-CN"/>
      </w:rPr>
    </w:pPr>
    <w:r>
      <w:rPr>
        <w:rFonts w:hint="eastAsia" w:ascii="仿宋" w:hAnsi="仿宋" w:eastAsia="仿宋" w:cs="仿宋"/>
        <w:sz w:val="22"/>
        <w:szCs w:val="22"/>
        <w:lang w:eastAsia="zh-CN"/>
      </w:rPr>
      <w:t>附件</w:t>
    </w:r>
    <w:r>
      <w:rPr>
        <w:rFonts w:hint="eastAsia" w:ascii="仿宋" w:hAnsi="仿宋" w:eastAsia="仿宋" w:cs="仿宋"/>
        <w:sz w:val="24"/>
        <w:szCs w:val="24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5341620</wp:posOffset>
          </wp:positionH>
          <wp:positionV relativeFrom="paragraph">
            <wp:posOffset>-248920</wp:posOffset>
          </wp:positionV>
          <wp:extent cx="585470" cy="677545"/>
          <wp:effectExtent l="0" t="0" r="5080" b="8255"/>
          <wp:wrapTight wrapText="bothSides">
            <wp:wrapPolygon>
              <wp:start x="0" y="0"/>
              <wp:lineTo x="0" y="21256"/>
              <wp:lineTo x="21085" y="21256"/>
              <wp:lineTo x="21085" y="0"/>
              <wp:lineTo x="0" y="0"/>
            </wp:wrapPolygon>
          </wp:wrapTight>
          <wp:docPr id="1" name="图片 1" descr="logo下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下小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5470" cy="677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仿宋" w:hAnsi="仿宋" w:eastAsia="仿宋" w:cs="仿宋"/>
        <w:sz w:val="22"/>
        <w:szCs w:val="22"/>
        <w:lang w:val="en-US" w:eastAsia="zh-CN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6601C"/>
    <w:multiLevelType w:val="multilevel"/>
    <w:tmpl w:val="62E660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b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125B38"/>
    <w:rsid w:val="00147A04"/>
    <w:rsid w:val="0021166B"/>
    <w:rsid w:val="0030301C"/>
    <w:rsid w:val="00323B43"/>
    <w:rsid w:val="003336BF"/>
    <w:rsid w:val="00336AF7"/>
    <w:rsid w:val="003C589A"/>
    <w:rsid w:val="003D37D8"/>
    <w:rsid w:val="00426133"/>
    <w:rsid w:val="004358AB"/>
    <w:rsid w:val="00482705"/>
    <w:rsid w:val="004B1E41"/>
    <w:rsid w:val="005115DD"/>
    <w:rsid w:val="00535C73"/>
    <w:rsid w:val="00595514"/>
    <w:rsid w:val="005F4FFC"/>
    <w:rsid w:val="00661ABF"/>
    <w:rsid w:val="006F2743"/>
    <w:rsid w:val="007422C6"/>
    <w:rsid w:val="008B7726"/>
    <w:rsid w:val="00962B2D"/>
    <w:rsid w:val="00986E36"/>
    <w:rsid w:val="009A2EED"/>
    <w:rsid w:val="009A6448"/>
    <w:rsid w:val="00A167F3"/>
    <w:rsid w:val="00AA29C3"/>
    <w:rsid w:val="00AB6836"/>
    <w:rsid w:val="00AD08ED"/>
    <w:rsid w:val="00B37193"/>
    <w:rsid w:val="00B4528D"/>
    <w:rsid w:val="00C3720C"/>
    <w:rsid w:val="00C75A98"/>
    <w:rsid w:val="00C85943"/>
    <w:rsid w:val="00C928FE"/>
    <w:rsid w:val="00D31D50"/>
    <w:rsid w:val="00D56703"/>
    <w:rsid w:val="00DD3F99"/>
    <w:rsid w:val="00DD5734"/>
    <w:rsid w:val="00F65BA6"/>
    <w:rsid w:val="00F931DF"/>
    <w:rsid w:val="00FC6463"/>
    <w:rsid w:val="06BE4CCB"/>
    <w:rsid w:val="11042C82"/>
    <w:rsid w:val="1A0E7BCB"/>
    <w:rsid w:val="26E92E63"/>
    <w:rsid w:val="2AE365A6"/>
    <w:rsid w:val="37324346"/>
    <w:rsid w:val="386C0765"/>
    <w:rsid w:val="3C685219"/>
    <w:rsid w:val="3E9A2399"/>
    <w:rsid w:val="3F2E2F3E"/>
    <w:rsid w:val="5B16401B"/>
    <w:rsid w:val="64C00EE9"/>
    <w:rsid w:val="6F5A0225"/>
    <w:rsid w:val="75092FF4"/>
    <w:rsid w:val="76AF4A4C"/>
    <w:rsid w:val="780B5EDE"/>
    <w:rsid w:val="795B408C"/>
    <w:rsid w:val="7A17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Theme="minorEastAsia" w:cstheme="minorBidi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0"/>
    <w:pPr>
      <w:widowControl w:val="0"/>
      <w:adjustRightInd/>
      <w:snapToGrid/>
      <w:spacing w:beforeAutospacing="1" w:after="0" w:afterAutospacing="1"/>
      <w:outlineLvl w:val="1"/>
    </w:pPr>
    <w:rPr>
      <w:rFonts w:hint="eastAsia" w:ascii="宋体" w:hAnsi="宋体" w:eastAsia="宋体" w:cs="Times New Roman"/>
      <w:b/>
      <w:sz w:val="36"/>
      <w:szCs w:val="36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styleId="9">
    <w:name w:val="Table Grid"/>
    <w:basedOn w:val="8"/>
    <w:qFormat/>
    <w:uiPriority w:val="0"/>
    <w:pPr>
      <w:widowControl w:val="0"/>
      <w:spacing w:after="0" w:line="240" w:lineRule="auto"/>
      <w:jc w:val="both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标题 2 Char"/>
    <w:basedOn w:val="6"/>
    <w:link w:val="2"/>
    <w:qFormat/>
    <w:uiPriority w:val="0"/>
    <w:rPr>
      <w:rFonts w:ascii="宋体" w:hAnsi="宋体" w:eastAsia="宋体" w:cs="Times New Roman"/>
      <w:b/>
      <w:sz w:val="36"/>
      <w:szCs w:val="36"/>
    </w:rPr>
  </w:style>
  <w:style w:type="paragraph" w:styleId="13">
    <w:name w:val="List Paragraph"/>
    <w:basedOn w:val="1"/>
    <w:qFormat/>
    <w:uiPriority w:val="1"/>
    <w:pPr>
      <w:widowControl w:val="0"/>
      <w:adjustRightInd/>
      <w:snapToGrid/>
      <w:spacing w:before="43" w:after="0"/>
      <w:ind w:left="660" w:hanging="420"/>
      <w:jc w:val="both"/>
    </w:pPr>
    <w:rPr>
      <w:rFonts w:ascii="宋体" w:hAnsi="宋体" w:eastAsia="宋体" w:cs="宋体"/>
      <w:kern w:val="2"/>
      <w:sz w:val="21"/>
      <w:szCs w:val="24"/>
      <w:lang w:val="de-DE" w:eastAsia="de-DE" w:bidi="de-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470</Words>
  <Characters>2683</Characters>
  <Lines>22</Lines>
  <Paragraphs>6</Paragraphs>
  <TotalTime>0</TotalTime>
  <ScaleCrop>false</ScaleCrop>
  <LinksUpToDate>false</LinksUpToDate>
  <CharactersWithSpaces>3147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2018-09-14T08:27:00Z</dcterms:created>
  <dc:creator>Lackner, Ying</dc:creator>
  <cp:lastModifiedBy>艾蔻娃娃</cp:lastModifiedBy>
  <dcterms:modified xsi:type="dcterms:W3CDTF">2018-09-22T13:00:59Z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